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A62D9" w14:textId="77777777" w:rsidR="00FE1DF0" w:rsidRDefault="00E1399F">
      <w:pPr>
        <w:pStyle w:val="Standard"/>
        <w:spacing w:after="60"/>
        <w:rPr>
          <w:rFonts w:hint="eastAsia"/>
        </w:rPr>
      </w:pPr>
      <w:r>
        <w:rPr>
          <w:rFonts w:hint="eastAsia"/>
          <w:noProof/>
        </w:rPr>
        <w:drawing>
          <wp:anchor distT="0" distB="0" distL="0" distR="0" simplePos="0" relativeHeight="3" behindDoc="0" locked="0" layoutInCell="1" allowOverlap="1" wp14:anchorId="21E718F5" wp14:editId="39B53836">
            <wp:simplePos x="0" y="0"/>
            <wp:positionH relativeFrom="column">
              <wp:posOffset>2450465</wp:posOffset>
            </wp:positionH>
            <wp:positionV relativeFrom="paragraph">
              <wp:posOffset>123190</wp:posOffset>
            </wp:positionV>
            <wp:extent cx="1214755" cy="1335405"/>
            <wp:effectExtent l="0" t="0" r="0" b="0"/>
            <wp:wrapNone/>
            <wp:docPr id="1" name="imag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1"/>
                    <pic:cNvPicPr>
                      <a:picLocks noChangeAspect="1" noChangeArrowheads="1"/>
                    </pic:cNvPicPr>
                  </pic:nvPicPr>
                  <pic:blipFill>
                    <a:blip r:embed="rId7"/>
                    <a:stretch>
                      <a:fillRect/>
                    </a:stretch>
                  </pic:blipFill>
                  <pic:spPr bwMode="auto">
                    <a:xfrm>
                      <a:off x="0" y="0"/>
                      <a:ext cx="1214755" cy="1335405"/>
                    </a:xfrm>
                    <a:prstGeom prst="rect">
                      <a:avLst/>
                    </a:prstGeom>
                    <a:noFill/>
                  </pic:spPr>
                </pic:pic>
              </a:graphicData>
            </a:graphic>
          </wp:anchor>
        </w:drawing>
      </w:r>
    </w:p>
    <w:p w14:paraId="14AEE185" w14:textId="77777777" w:rsidR="00FE1DF0" w:rsidRDefault="00FE1DF0">
      <w:pPr>
        <w:pStyle w:val="Standard"/>
        <w:spacing w:after="60"/>
        <w:rPr>
          <w:rFonts w:hint="eastAsia"/>
        </w:rPr>
      </w:pPr>
    </w:p>
    <w:p w14:paraId="140E781F" w14:textId="77777777" w:rsidR="00FE1DF0" w:rsidRDefault="00FE1DF0">
      <w:pPr>
        <w:pStyle w:val="Standard"/>
        <w:spacing w:after="60"/>
        <w:rPr>
          <w:rFonts w:hint="eastAsia"/>
        </w:rPr>
      </w:pPr>
    </w:p>
    <w:p w14:paraId="0A22F7B6" w14:textId="77777777" w:rsidR="00FE1DF0" w:rsidRDefault="00FE1DF0">
      <w:pPr>
        <w:pStyle w:val="Standard"/>
        <w:spacing w:after="60"/>
        <w:rPr>
          <w:rFonts w:hint="eastAsia"/>
        </w:rPr>
      </w:pPr>
    </w:p>
    <w:p w14:paraId="7A85A84D" w14:textId="77777777" w:rsidR="00FE1DF0" w:rsidRDefault="00FE1DF0">
      <w:pPr>
        <w:pStyle w:val="Standard"/>
        <w:spacing w:after="60"/>
        <w:rPr>
          <w:rFonts w:hint="eastAsia"/>
        </w:rPr>
      </w:pPr>
    </w:p>
    <w:p w14:paraId="74969219" w14:textId="77777777" w:rsidR="00FE1DF0" w:rsidRDefault="00FE1DF0">
      <w:pPr>
        <w:pStyle w:val="Standard"/>
        <w:spacing w:after="60"/>
        <w:rPr>
          <w:rFonts w:hint="eastAsia"/>
        </w:rPr>
      </w:pPr>
    </w:p>
    <w:p w14:paraId="4F6FBA4C" w14:textId="77777777" w:rsidR="00FE1DF0" w:rsidRDefault="00FE1DF0">
      <w:pPr>
        <w:pStyle w:val="Standard"/>
        <w:spacing w:after="60"/>
        <w:rPr>
          <w:rFonts w:hint="eastAsia"/>
        </w:rPr>
      </w:pPr>
    </w:p>
    <w:p w14:paraId="0C4AE123" w14:textId="77777777" w:rsidR="00FE1DF0" w:rsidRDefault="00FE1DF0">
      <w:pPr>
        <w:pStyle w:val="Standard"/>
        <w:spacing w:after="60"/>
        <w:rPr>
          <w:rFonts w:hint="eastAsia"/>
        </w:rPr>
      </w:pPr>
    </w:p>
    <w:p w14:paraId="2FABA1EE" w14:textId="77777777" w:rsidR="00FE1DF0" w:rsidRDefault="00E1399F">
      <w:pPr>
        <w:pStyle w:val="Standard"/>
        <w:spacing w:after="60"/>
        <w:jc w:val="center"/>
        <w:rPr>
          <w:rFonts w:hint="eastAsia"/>
        </w:rPr>
      </w:pPr>
      <w:r>
        <w:rPr>
          <w:b/>
          <w:bCs/>
          <w:color w:val="1F4E79"/>
          <w:sz w:val="56"/>
          <w:szCs w:val="56"/>
        </w:rPr>
        <w:t>COMMUNE DE VRED</w:t>
      </w:r>
    </w:p>
    <w:p w14:paraId="666FF35C" w14:textId="77777777" w:rsidR="00FE1DF0" w:rsidRDefault="00E1399F">
      <w:pPr>
        <w:pStyle w:val="Standard"/>
        <w:spacing w:after="40"/>
        <w:jc w:val="center"/>
        <w:rPr>
          <w:rFonts w:hint="eastAsia"/>
        </w:rPr>
      </w:pPr>
      <w:r>
        <w:rPr>
          <w:color w:val="595959"/>
          <w:sz w:val="20"/>
          <w:szCs w:val="20"/>
        </w:rPr>
        <w:t>Mairie de Vred – 153 Place Charles de Gaulle – 59870 VRED</w:t>
      </w:r>
    </w:p>
    <w:p w14:paraId="6FD810B2" w14:textId="77777777" w:rsidR="00FE1DF0" w:rsidRDefault="00FE1DF0">
      <w:pPr>
        <w:pStyle w:val="Standard"/>
        <w:pBdr>
          <w:bottom w:val="single" w:sz="6" w:space="1" w:color="1F4E79"/>
        </w:pBdr>
        <w:spacing w:before="40" w:after="40"/>
        <w:rPr>
          <w:rFonts w:hint="eastAsia"/>
        </w:rPr>
      </w:pPr>
    </w:p>
    <w:p w14:paraId="4F057BAB" w14:textId="77777777" w:rsidR="00FE1DF0" w:rsidRDefault="00FE1DF0">
      <w:pPr>
        <w:pStyle w:val="Standard"/>
        <w:spacing w:after="60"/>
        <w:rPr>
          <w:rFonts w:hint="eastAsia"/>
        </w:rPr>
      </w:pPr>
    </w:p>
    <w:p w14:paraId="20662477" w14:textId="77777777" w:rsidR="00FE1DF0" w:rsidRDefault="00E1399F">
      <w:pPr>
        <w:pStyle w:val="Standard"/>
        <w:spacing w:after="100"/>
        <w:jc w:val="center"/>
        <w:rPr>
          <w:rFonts w:hint="eastAsia"/>
        </w:rPr>
      </w:pPr>
      <w:r>
        <w:rPr>
          <w:b/>
          <w:bCs/>
          <w:color w:val="1F4E79"/>
          <w:sz w:val="38"/>
          <w:szCs w:val="38"/>
        </w:rPr>
        <w:t>RÈGLEMENT DE CONSULTATION</w:t>
      </w:r>
    </w:p>
    <w:p w14:paraId="0991BECD" w14:textId="77777777" w:rsidR="00FE1DF0" w:rsidRDefault="00E1399F">
      <w:pPr>
        <w:pStyle w:val="Standard"/>
        <w:spacing w:after="60"/>
        <w:jc w:val="center"/>
        <w:rPr>
          <w:rFonts w:hint="eastAsia"/>
        </w:rPr>
      </w:pPr>
      <w:r>
        <w:rPr>
          <w:b/>
          <w:bCs/>
          <w:color w:val="595959"/>
        </w:rPr>
        <w:t>MARCHÉ À PROCÉDURE ADAPTÉE (MAPA)</w:t>
      </w:r>
    </w:p>
    <w:p w14:paraId="37518295" w14:textId="77777777" w:rsidR="00FE1DF0" w:rsidRDefault="00E1399F">
      <w:pPr>
        <w:pStyle w:val="Standard"/>
        <w:spacing w:after="40"/>
        <w:jc w:val="center"/>
        <w:rPr>
          <w:rFonts w:hint="eastAsia"/>
        </w:rPr>
      </w:pPr>
      <w:r>
        <w:rPr>
          <w:color w:val="595959"/>
        </w:rPr>
        <w:t>Article R.2123-1 du Code de la commande publique</w:t>
      </w:r>
    </w:p>
    <w:p w14:paraId="4D0B6C3D" w14:textId="77777777" w:rsidR="00FE1DF0" w:rsidRDefault="00FE1DF0">
      <w:pPr>
        <w:pStyle w:val="Standard"/>
        <w:spacing w:after="40"/>
        <w:jc w:val="center"/>
        <w:rPr>
          <w:rFonts w:hint="eastAsia"/>
        </w:rPr>
      </w:pPr>
    </w:p>
    <w:p w14:paraId="4A443F65" w14:textId="77777777" w:rsidR="00FE1DF0" w:rsidRDefault="00FE1DF0">
      <w:pPr>
        <w:pStyle w:val="Standard"/>
        <w:pBdr>
          <w:bottom w:val="single" w:sz="6" w:space="1" w:color="1F4E79"/>
        </w:pBdr>
        <w:spacing w:before="40" w:after="40"/>
        <w:rPr>
          <w:rFonts w:hint="eastAsia"/>
        </w:rPr>
      </w:pPr>
    </w:p>
    <w:p w14:paraId="3740DA5C" w14:textId="77777777" w:rsidR="00FE1DF0" w:rsidRDefault="00FE1DF0">
      <w:pPr>
        <w:pStyle w:val="Standard"/>
        <w:spacing w:after="60"/>
        <w:rPr>
          <w:rFonts w:hint="eastAsia"/>
        </w:rPr>
      </w:pPr>
    </w:p>
    <w:p w14:paraId="4E05DF00" w14:textId="77777777" w:rsidR="00FE1DF0" w:rsidRDefault="00E1399F">
      <w:pPr>
        <w:pStyle w:val="Standard"/>
        <w:spacing w:after="80"/>
        <w:jc w:val="center"/>
        <w:rPr>
          <w:rFonts w:hint="eastAsia"/>
        </w:rPr>
      </w:pPr>
      <w:r>
        <w:rPr>
          <w:b/>
          <w:bCs/>
          <w:color w:val="1F4E79"/>
          <w:sz w:val="28"/>
          <w:szCs w:val="28"/>
        </w:rPr>
        <w:t>TRAVAUX DE DEMOLITION ET DE CONSTRUCTION DE L’ECOLE MATERNELLE HENRI MATISSE à VRED</w:t>
      </w:r>
    </w:p>
    <w:p w14:paraId="5248EC33" w14:textId="77777777" w:rsidR="00FE1DF0" w:rsidRDefault="00E1399F">
      <w:pPr>
        <w:pStyle w:val="Standard"/>
        <w:spacing w:after="80"/>
        <w:jc w:val="center"/>
        <w:rPr>
          <w:rFonts w:hint="eastAsia"/>
        </w:rPr>
      </w:pPr>
      <w:r>
        <w:rPr>
          <w:color w:val="595959"/>
          <w:sz w:val="21"/>
          <w:szCs w:val="21"/>
        </w:rPr>
        <w:t>25 Desserte du Foyer Rural – 59870 VRED</w:t>
      </w:r>
    </w:p>
    <w:p w14:paraId="529A3B44" w14:textId="77777777" w:rsidR="00FE1DF0" w:rsidRDefault="00E1399F">
      <w:pPr>
        <w:pStyle w:val="Standard"/>
        <w:shd w:val="clear" w:color="auto" w:fill="FFF2CC"/>
        <w:spacing w:before="80" w:after="120"/>
        <w:ind w:left="140" w:right="140"/>
        <w:rPr>
          <w:rFonts w:hint="eastAsia"/>
        </w:rPr>
      </w:pPr>
      <w:r>
        <w:rPr>
          <w:b/>
          <w:bCs/>
          <w:color w:val="7F3F00"/>
          <w:sz w:val="21"/>
          <w:szCs w:val="21"/>
        </w:rPr>
        <w:t>Date Limite de Remise des Offres : 22 JUIN 2026 à 16H30  (Heure locale du Pouvoir Adjudicateur)</w:t>
      </w:r>
    </w:p>
    <w:tbl>
      <w:tblPr>
        <w:tblW w:w="9026" w:type="dxa"/>
        <w:tblInd w:w="-108" w:type="dxa"/>
        <w:tblLayout w:type="fixed"/>
        <w:tblLook w:val="0000" w:firstRow="0" w:lastRow="0" w:firstColumn="0" w:lastColumn="0" w:noHBand="0" w:noVBand="0"/>
      </w:tblPr>
      <w:tblGrid>
        <w:gridCol w:w="2999"/>
        <w:gridCol w:w="6027"/>
      </w:tblGrid>
      <w:tr w:rsidR="00FE1DF0" w14:paraId="1BD791E0" w14:textId="77777777">
        <w:tc>
          <w:tcPr>
            <w:tcW w:w="2999"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01E07846" w14:textId="77777777" w:rsidR="00FE1DF0" w:rsidRDefault="00E1399F">
            <w:pPr>
              <w:pStyle w:val="Standard"/>
              <w:rPr>
                <w:rFonts w:hint="eastAsia"/>
              </w:rPr>
            </w:pPr>
            <w:r>
              <w:rPr>
                <w:b/>
                <w:bCs/>
                <w:color w:val="000000"/>
                <w:sz w:val="18"/>
                <w:szCs w:val="18"/>
              </w:rPr>
              <w:t>Pouvoir adjudicateur</w:t>
            </w:r>
          </w:p>
        </w:tc>
        <w:tc>
          <w:tcPr>
            <w:tcW w:w="6027"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1B72BD5E" w14:textId="77777777" w:rsidR="00FE1DF0" w:rsidRDefault="00E1399F">
            <w:pPr>
              <w:pStyle w:val="Standard"/>
              <w:rPr>
                <w:rFonts w:hint="eastAsia"/>
              </w:rPr>
            </w:pPr>
            <w:r>
              <w:rPr>
                <w:color w:val="000000"/>
                <w:sz w:val="18"/>
                <w:szCs w:val="18"/>
              </w:rPr>
              <w:t>Commune de Vred (59870) – Département du Nord</w:t>
            </w:r>
          </w:p>
        </w:tc>
      </w:tr>
      <w:tr w:rsidR="00FE1DF0" w14:paraId="4A8F19B6" w14:textId="77777777">
        <w:tc>
          <w:tcPr>
            <w:tcW w:w="2999"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3803F6DF" w14:textId="77777777" w:rsidR="00FE1DF0" w:rsidRDefault="00E1399F">
            <w:pPr>
              <w:pStyle w:val="Standard"/>
              <w:rPr>
                <w:rFonts w:hint="eastAsia"/>
              </w:rPr>
            </w:pPr>
            <w:r>
              <w:rPr>
                <w:b/>
                <w:bCs/>
                <w:color w:val="000000"/>
                <w:sz w:val="18"/>
                <w:szCs w:val="18"/>
              </w:rPr>
              <w:t>Représentant légal</w:t>
            </w:r>
          </w:p>
        </w:tc>
        <w:tc>
          <w:tcPr>
            <w:tcW w:w="6027"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B22A135" w14:textId="77777777" w:rsidR="00FE1DF0" w:rsidRDefault="00E1399F">
            <w:pPr>
              <w:pStyle w:val="Standard"/>
              <w:rPr>
                <w:rFonts w:hint="eastAsia"/>
              </w:rPr>
            </w:pPr>
            <w:r>
              <w:rPr>
                <w:color w:val="000000"/>
                <w:sz w:val="18"/>
                <w:szCs w:val="18"/>
              </w:rPr>
              <w:t>M. SOQUET – Maire de la Commune de Vred</w:t>
            </w:r>
          </w:p>
        </w:tc>
      </w:tr>
      <w:tr w:rsidR="00FE1DF0" w14:paraId="4D8E76B5" w14:textId="77777777">
        <w:tc>
          <w:tcPr>
            <w:tcW w:w="2999"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6EDA4271" w14:textId="77777777" w:rsidR="00FE1DF0" w:rsidRDefault="00E1399F">
            <w:pPr>
              <w:pStyle w:val="Standard"/>
              <w:rPr>
                <w:rFonts w:hint="eastAsia"/>
              </w:rPr>
            </w:pPr>
            <w:r>
              <w:rPr>
                <w:b/>
                <w:bCs/>
                <w:sz w:val="18"/>
                <w:szCs w:val="18"/>
              </w:rPr>
              <w:t>Maîtrise d’oeuvre</w:t>
            </w:r>
          </w:p>
        </w:tc>
        <w:tc>
          <w:tcPr>
            <w:tcW w:w="6027"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4633D566" w14:textId="77777777" w:rsidR="00FE1DF0" w:rsidRDefault="00E1399F">
            <w:pPr>
              <w:pStyle w:val="Standard"/>
              <w:rPr>
                <w:rFonts w:hint="eastAsia"/>
              </w:rPr>
            </w:pPr>
            <w:r>
              <w:rPr>
                <w:sz w:val="18"/>
                <w:szCs w:val="18"/>
              </w:rPr>
              <w:t>DIENTRE / BECQUART/ ETBA</w:t>
            </w:r>
          </w:p>
        </w:tc>
      </w:tr>
      <w:tr w:rsidR="00FE1DF0" w14:paraId="5E489376" w14:textId="77777777">
        <w:tc>
          <w:tcPr>
            <w:tcW w:w="2999"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6D6CD09F" w14:textId="77777777" w:rsidR="00FE1DF0" w:rsidRDefault="00E1399F">
            <w:pPr>
              <w:pStyle w:val="Standard"/>
              <w:rPr>
                <w:rFonts w:hint="eastAsia"/>
              </w:rPr>
            </w:pPr>
            <w:r>
              <w:rPr>
                <w:b/>
                <w:bCs/>
                <w:color w:val="000000"/>
                <w:sz w:val="18"/>
                <w:szCs w:val="18"/>
              </w:rPr>
              <w:t>Durée du Marché</w:t>
            </w:r>
          </w:p>
        </w:tc>
        <w:tc>
          <w:tcPr>
            <w:tcW w:w="6027"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28C5FEC" w14:textId="77777777" w:rsidR="00FE1DF0" w:rsidRDefault="00E1399F">
            <w:pPr>
              <w:pStyle w:val="Standard"/>
              <w:rPr>
                <w:rFonts w:hint="eastAsia"/>
              </w:rPr>
            </w:pPr>
            <w:r>
              <w:rPr>
                <w:color w:val="000000"/>
                <w:sz w:val="18"/>
                <w:szCs w:val="18"/>
              </w:rPr>
              <w:t>36 mois</w:t>
            </w:r>
          </w:p>
        </w:tc>
      </w:tr>
      <w:tr w:rsidR="00FE1DF0" w14:paraId="745BA6EC" w14:textId="77777777">
        <w:tc>
          <w:tcPr>
            <w:tcW w:w="2999"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214DEE96" w14:textId="77777777" w:rsidR="00FE1DF0" w:rsidRDefault="00E1399F">
            <w:pPr>
              <w:pStyle w:val="Standard"/>
              <w:rPr>
                <w:rFonts w:hint="eastAsia"/>
              </w:rPr>
            </w:pPr>
            <w:r>
              <w:rPr>
                <w:b/>
                <w:bCs/>
                <w:color w:val="000000"/>
                <w:sz w:val="18"/>
                <w:szCs w:val="18"/>
              </w:rPr>
              <w:t>Procédure</w:t>
            </w:r>
          </w:p>
        </w:tc>
        <w:tc>
          <w:tcPr>
            <w:tcW w:w="6027"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45C6BD5E" w14:textId="77777777" w:rsidR="00FE1DF0" w:rsidRDefault="00E1399F">
            <w:pPr>
              <w:pStyle w:val="Standard"/>
              <w:rPr>
                <w:rFonts w:hint="eastAsia"/>
              </w:rPr>
            </w:pPr>
            <w:r>
              <w:rPr>
                <w:color w:val="000000"/>
                <w:sz w:val="18"/>
                <w:szCs w:val="18"/>
              </w:rPr>
              <w:t>MAPA ouvert avec possibilité de négociation – 14 lots séparés – marché à tranches que pour le lot 13</w:t>
            </w:r>
          </w:p>
        </w:tc>
      </w:tr>
      <w:tr w:rsidR="00FE1DF0" w14:paraId="05762656" w14:textId="77777777">
        <w:trPr>
          <w:trHeight w:val="497"/>
        </w:trPr>
        <w:tc>
          <w:tcPr>
            <w:tcW w:w="2999"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7B1F9B86" w14:textId="77777777" w:rsidR="00FE1DF0" w:rsidRDefault="00E1399F">
            <w:pPr>
              <w:pStyle w:val="Standard"/>
              <w:rPr>
                <w:rFonts w:hint="eastAsia"/>
              </w:rPr>
            </w:pPr>
            <w:r>
              <w:rPr>
                <w:b/>
                <w:bCs/>
                <w:sz w:val="18"/>
                <w:szCs w:val="18"/>
              </w:rPr>
              <w:t>Date de lancement consultation</w:t>
            </w:r>
          </w:p>
        </w:tc>
        <w:tc>
          <w:tcPr>
            <w:tcW w:w="6027"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69E642F" w14:textId="77777777" w:rsidR="00FE1DF0" w:rsidRDefault="00E1399F">
            <w:pPr>
              <w:pStyle w:val="Standard"/>
              <w:rPr>
                <w:rFonts w:hint="eastAsia"/>
              </w:rPr>
            </w:pPr>
            <w:r>
              <w:rPr>
                <w:b/>
                <w:bCs/>
                <w:color w:val="7F3F00"/>
                <w:sz w:val="18"/>
                <w:szCs w:val="18"/>
              </w:rPr>
              <w:t>27/05/2026</w:t>
            </w:r>
          </w:p>
        </w:tc>
      </w:tr>
      <w:tr w:rsidR="00FE1DF0" w14:paraId="7CE375E2" w14:textId="77777777">
        <w:tc>
          <w:tcPr>
            <w:tcW w:w="2999"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20A95AC1" w14:textId="77777777" w:rsidR="00FE1DF0" w:rsidRDefault="00E1399F">
            <w:pPr>
              <w:pStyle w:val="Standard"/>
              <w:rPr>
                <w:rFonts w:hint="eastAsia"/>
              </w:rPr>
            </w:pPr>
            <w:r>
              <w:rPr>
                <w:b/>
                <w:bCs/>
                <w:color w:val="000000"/>
                <w:sz w:val="18"/>
                <w:szCs w:val="18"/>
              </w:rPr>
              <w:t>Date limite des offres</w:t>
            </w:r>
          </w:p>
        </w:tc>
        <w:tc>
          <w:tcPr>
            <w:tcW w:w="6027"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1C0B69B8" w14:textId="77777777" w:rsidR="00FE1DF0" w:rsidRDefault="00E1399F">
            <w:pPr>
              <w:pStyle w:val="Standard"/>
              <w:rPr>
                <w:rFonts w:hint="eastAsia"/>
              </w:rPr>
            </w:pPr>
            <w:r>
              <w:rPr>
                <w:b/>
                <w:bCs/>
                <w:color w:val="7F3F00"/>
                <w:sz w:val="18"/>
                <w:szCs w:val="18"/>
              </w:rPr>
              <w:t>22 Juin 2026 – 16h30</w:t>
            </w:r>
          </w:p>
        </w:tc>
      </w:tr>
      <w:tr w:rsidR="00FE1DF0" w14:paraId="101770AA" w14:textId="77777777">
        <w:tc>
          <w:tcPr>
            <w:tcW w:w="2999"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3D2E483A" w14:textId="77777777" w:rsidR="00FE1DF0" w:rsidRDefault="00E1399F">
            <w:pPr>
              <w:pStyle w:val="Standard"/>
              <w:rPr>
                <w:rFonts w:hint="eastAsia"/>
              </w:rPr>
            </w:pPr>
            <w:r>
              <w:rPr>
                <w:b/>
                <w:bCs/>
                <w:color w:val="000000"/>
                <w:sz w:val="18"/>
                <w:szCs w:val="18"/>
              </w:rPr>
              <w:t>Plateforme</w:t>
            </w:r>
          </w:p>
        </w:tc>
        <w:tc>
          <w:tcPr>
            <w:tcW w:w="6027"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3395ACEB" w14:textId="77777777" w:rsidR="00FE1DF0" w:rsidRDefault="00E1399F">
            <w:pPr>
              <w:pStyle w:val="Standard"/>
              <w:rPr>
                <w:rFonts w:hint="eastAsia"/>
              </w:rPr>
            </w:pPr>
            <w:r>
              <w:rPr>
                <w:color w:val="000000"/>
                <w:sz w:val="18"/>
                <w:szCs w:val="18"/>
              </w:rPr>
              <w:t>https://marchespublics596280.fr</w:t>
            </w:r>
          </w:p>
        </w:tc>
      </w:tr>
    </w:tbl>
    <w:p w14:paraId="6E49F38F" w14:textId="77777777" w:rsidR="00FE1DF0" w:rsidRDefault="00E1399F">
      <w:pPr>
        <w:pStyle w:val="Standard"/>
        <w:spacing w:after="90"/>
        <w:jc w:val="both"/>
        <w:rPr>
          <w:rFonts w:hint="eastAsia"/>
        </w:rPr>
      </w:pPr>
      <w:r>
        <w:rPr>
          <w:color w:val="000000"/>
        </w:rPr>
        <w:t>Ce document constitue le Règlement de Consultation (RC). Il doit être lu conjointement avec le CCAP, les CCTP et les documents graphiques propres à chaque lot.</w:t>
      </w:r>
    </w:p>
    <w:p w14:paraId="2611B1EE" w14:textId="77777777" w:rsidR="00FE1DF0" w:rsidRDefault="00FE1DF0">
      <w:pPr>
        <w:pStyle w:val="Standard"/>
        <w:spacing w:after="90"/>
        <w:jc w:val="both"/>
        <w:rPr>
          <w:rFonts w:hint="eastAsia"/>
        </w:rPr>
      </w:pPr>
    </w:p>
    <w:p w14:paraId="0FE3D067" w14:textId="77777777" w:rsidR="00FE1DF0" w:rsidRDefault="00FE1DF0">
      <w:pPr>
        <w:pStyle w:val="Standard"/>
        <w:spacing w:after="90"/>
        <w:jc w:val="both"/>
        <w:rPr>
          <w:rFonts w:hint="eastAsia"/>
        </w:rPr>
      </w:pPr>
    </w:p>
    <w:p w14:paraId="31BECA33" w14:textId="77777777" w:rsidR="00FE1DF0" w:rsidRDefault="00FE1DF0">
      <w:pPr>
        <w:pStyle w:val="Standard"/>
        <w:spacing w:after="90"/>
        <w:jc w:val="both"/>
        <w:rPr>
          <w:rFonts w:hint="eastAsia"/>
        </w:rPr>
      </w:pPr>
    </w:p>
    <w:p w14:paraId="7F5FC4A4" w14:textId="77777777" w:rsidR="00FE1DF0" w:rsidRDefault="00FE1DF0">
      <w:pPr>
        <w:pStyle w:val="Standard"/>
        <w:spacing w:after="90"/>
        <w:jc w:val="both"/>
        <w:rPr>
          <w:rFonts w:hint="eastAsia"/>
        </w:rPr>
      </w:pPr>
    </w:p>
    <w:p w14:paraId="1807B7AC" w14:textId="77777777" w:rsidR="00FE1DF0" w:rsidRDefault="00FE1DF0">
      <w:pPr>
        <w:pStyle w:val="Standard"/>
        <w:spacing w:after="90"/>
        <w:jc w:val="both"/>
        <w:rPr>
          <w:rFonts w:hint="eastAsia"/>
        </w:rPr>
      </w:pPr>
    </w:p>
    <w:p w14:paraId="7B1E1121" w14:textId="77777777" w:rsidR="00FE1DF0" w:rsidRDefault="00E1399F">
      <w:pPr>
        <w:pStyle w:val="Standard"/>
        <w:widowControl w:val="0"/>
        <w:ind w:right="111"/>
        <w:rPr>
          <w:rFonts w:hint="eastAsia"/>
        </w:rPr>
      </w:pPr>
      <w:r>
        <w:rPr>
          <w:rFonts w:ascii="Arial" w:hAnsi="Arial" w:cs="Arial"/>
          <w:b/>
          <w:bCs/>
          <w:color w:val="595959"/>
          <w:sz w:val="28"/>
          <w:szCs w:val="28"/>
        </w:rPr>
        <w:t>ACHETEUR ET CARACTERISTIQUES DU CONTRAT</w:t>
      </w:r>
    </w:p>
    <w:p w14:paraId="4B84226A" w14:textId="77777777" w:rsidR="00FE1DF0" w:rsidRDefault="00FE1DF0">
      <w:pPr>
        <w:pStyle w:val="Standard"/>
        <w:keepNext/>
        <w:keepLines/>
        <w:widowControl w:val="0"/>
        <w:pBdr>
          <w:bottom w:val="single" w:sz="4" w:space="1" w:color="D9D9D9"/>
        </w:pBdr>
        <w:spacing w:after="0" w:line="240" w:lineRule="auto"/>
        <w:ind w:left="117" w:right="111"/>
        <w:jc w:val="both"/>
        <w:rPr>
          <w:rFonts w:ascii="Arial" w:hAnsi="Arial" w:cs="Arial"/>
          <w:color w:val="000000"/>
          <w:sz w:val="2"/>
          <w:szCs w:val="2"/>
        </w:rPr>
      </w:pPr>
    </w:p>
    <w:p w14:paraId="27290710"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6C00C062"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rPr>
      </w:pPr>
      <w:r>
        <w:rPr>
          <w:rFonts w:ascii="Arial" w:hAnsi="Arial" w:cs="Arial"/>
          <w:b/>
          <w:bCs/>
          <w:color w:val="000000"/>
          <w:sz w:val="20"/>
          <w:szCs w:val="20"/>
        </w:rPr>
        <w:t>Acheteur :</w:t>
      </w:r>
    </w:p>
    <w:p w14:paraId="73E16C0E"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rPr>
      </w:pPr>
    </w:p>
    <w:p w14:paraId="29FB4A0D"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b/>
          <w:bCs/>
          <w:color w:val="000000"/>
          <w:sz w:val="20"/>
          <w:szCs w:val="20"/>
        </w:rPr>
        <w:t>Commune de VRED</w:t>
      </w:r>
    </w:p>
    <w:p w14:paraId="28549D08"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Représentant : monsieur le Maire – Eric Soquet</w:t>
      </w:r>
    </w:p>
    <w:p w14:paraId="5118FA3F"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Adresse : 153 Place du Général de Gaulle</w:t>
      </w:r>
    </w:p>
    <w:p w14:paraId="46452185"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59870 VRED</w:t>
      </w:r>
    </w:p>
    <w:p w14:paraId="6523D4F7" w14:textId="77777777" w:rsidR="00FE1DF0" w:rsidRDefault="00E1399F">
      <w:pPr>
        <w:pStyle w:val="Standard"/>
        <w:widowControl w:val="0"/>
        <w:spacing w:after="0" w:line="240" w:lineRule="auto"/>
        <w:ind w:left="142" w:right="255"/>
        <w:rPr>
          <w:rFonts w:hint="eastAsia"/>
        </w:rPr>
      </w:pPr>
      <w:r>
        <w:rPr>
          <w:rFonts w:ascii="Arial" w:hAnsi="Arial" w:cs="Arial"/>
          <w:color w:val="000000"/>
          <w:sz w:val="20"/>
          <w:szCs w:val="20"/>
        </w:rPr>
        <w:t>Courriel :</w:t>
      </w:r>
      <w:r>
        <w:rPr>
          <w:rFonts w:ascii="Arial" w:hAnsi="Arial" w:cs="Arial"/>
          <w:color w:val="000000"/>
          <w:sz w:val="20"/>
          <w:szCs w:val="20"/>
          <w:u w:val="single"/>
        </w:rPr>
        <w:t xml:space="preserve"> mairie@vred.fr</w:t>
      </w:r>
    </w:p>
    <w:p w14:paraId="2AADE5EB"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Site internet :</w:t>
      </w:r>
      <w:r>
        <w:t xml:space="preserve"> </w:t>
      </w:r>
      <w:r>
        <w:rPr>
          <w:rFonts w:ascii="Arial" w:hAnsi="Arial" w:cs="Arial"/>
          <w:color w:val="000000"/>
          <w:sz w:val="20"/>
          <w:szCs w:val="20"/>
        </w:rPr>
        <w:t>https://mairie-vred.fr/</w:t>
      </w:r>
    </w:p>
    <w:p w14:paraId="6C5A2835" w14:textId="77777777" w:rsidR="00FE1DF0" w:rsidRDefault="00FE1DF0">
      <w:pPr>
        <w:pStyle w:val="Standard"/>
        <w:widowControl w:val="0"/>
        <w:tabs>
          <w:tab w:val="left" w:pos="392"/>
        </w:tabs>
        <w:spacing w:after="0" w:line="240" w:lineRule="auto"/>
        <w:ind w:right="111"/>
        <w:jc w:val="both"/>
        <w:rPr>
          <w:rFonts w:ascii="Arial" w:hAnsi="Arial" w:cs="Arial"/>
          <w:color w:val="000000"/>
          <w:sz w:val="20"/>
          <w:szCs w:val="20"/>
        </w:rPr>
      </w:pPr>
    </w:p>
    <w:p w14:paraId="59C5702A"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rPr>
      </w:pPr>
      <w:r>
        <w:rPr>
          <w:rFonts w:ascii="Arial" w:hAnsi="Arial" w:cs="Arial"/>
          <w:b/>
          <w:bCs/>
          <w:color w:val="000000"/>
          <w:sz w:val="20"/>
          <w:szCs w:val="20"/>
        </w:rPr>
        <w:t>Procédure de passation et forme du marché public :</w:t>
      </w:r>
    </w:p>
    <w:p w14:paraId="066CDF4A" w14:textId="77777777" w:rsidR="00FE1DF0" w:rsidRDefault="00FE1DF0">
      <w:pPr>
        <w:pStyle w:val="Standard"/>
        <w:widowControl w:val="0"/>
        <w:tabs>
          <w:tab w:val="left" w:pos="509"/>
        </w:tabs>
        <w:spacing w:after="0" w:line="240" w:lineRule="auto"/>
        <w:ind w:left="117" w:right="111"/>
        <w:jc w:val="both"/>
        <w:rPr>
          <w:rFonts w:ascii="Arial" w:hAnsi="Arial" w:cs="Arial"/>
          <w:color w:val="000000"/>
          <w:sz w:val="12"/>
          <w:szCs w:val="12"/>
        </w:rPr>
      </w:pPr>
    </w:p>
    <w:p w14:paraId="19BEE02B"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sz w:val="20"/>
          <w:szCs w:val="20"/>
        </w:rPr>
        <w:t>Le présent marché public est passé selon une procédure adaptée en application des articles R2123-1 à R2123-7 du code de la commande publique.</w:t>
      </w:r>
    </w:p>
    <w:p w14:paraId="4AAA93A2" w14:textId="77777777" w:rsidR="00FE1DF0" w:rsidRDefault="00FE1DF0">
      <w:pPr>
        <w:pStyle w:val="Standard"/>
        <w:widowControl w:val="0"/>
        <w:tabs>
          <w:tab w:val="left" w:pos="509"/>
        </w:tabs>
        <w:spacing w:after="0" w:line="240" w:lineRule="auto"/>
        <w:ind w:left="117" w:right="111"/>
        <w:jc w:val="both"/>
        <w:rPr>
          <w:rFonts w:ascii="Arial" w:hAnsi="Arial" w:cs="Arial"/>
          <w:color w:val="000000"/>
          <w:sz w:val="20"/>
          <w:szCs w:val="20"/>
        </w:rPr>
      </w:pPr>
    </w:p>
    <w:p w14:paraId="0CEE88AB"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sz w:val="20"/>
          <w:szCs w:val="20"/>
        </w:rPr>
        <w:t xml:space="preserve">Pour les lots 1 à 12 et 14, il s’agit d’un marché public ordinaire de travaux.  </w:t>
      </w:r>
    </w:p>
    <w:p w14:paraId="35FDC14B" w14:textId="77777777" w:rsidR="00FE1DF0" w:rsidRDefault="00FE1DF0">
      <w:pPr>
        <w:pStyle w:val="Standard"/>
        <w:widowControl w:val="0"/>
        <w:tabs>
          <w:tab w:val="left" w:pos="509"/>
        </w:tabs>
        <w:spacing w:after="0" w:line="240" w:lineRule="auto"/>
        <w:ind w:left="117" w:right="111"/>
        <w:jc w:val="both"/>
        <w:rPr>
          <w:rFonts w:ascii="Arial" w:hAnsi="Arial" w:cs="Arial"/>
          <w:sz w:val="20"/>
          <w:szCs w:val="20"/>
        </w:rPr>
      </w:pPr>
    </w:p>
    <w:p w14:paraId="62ED246C"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Pour le lot 13, Le marché public comporte une tranche ferme et une tranche optionnelle, en application</w:t>
      </w:r>
    </w:p>
    <w:p w14:paraId="3E9B3CB2"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des articles R 2113-4 à R 2113-6 du Code de la Commande Publique.</w:t>
      </w:r>
    </w:p>
    <w:p w14:paraId="64743CFF" w14:textId="77777777" w:rsidR="00FE1DF0" w:rsidRDefault="00FE1DF0">
      <w:pPr>
        <w:pStyle w:val="Standard"/>
        <w:widowControl w:val="0"/>
        <w:tabs>
          <w:tab w:val="left" w:pos="509"/>
        </w:tabs>
        <w:spacing w:after="0" w:line="240" w:lineRule="auto"/>
        <w:ind w:left="117" w:right="111"/>
        <w:jc w:val="both"/>
        <w:rPr>
          <w:rFonts w:ascii="Arial" w:hAnsi="Arial" w:cs="Arial"/>
          <w:sz w:val="20"/>
          <w:szCs w:val="20"/>
          <w:shd w:val="clear" w:color="auto" w:fill="FFFFFF"/>
        </w:rPr>
      </w:pPr>
    </w:p>
    <w:p w14:paraId="5A54F5A6"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La tranche ferme et la tranche optionnelle sont décrites ci-dessous :</w:t>
      </w:r>
    </w:p>
    <w:p w14:paraId="0860DA8B"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b/>
          <w:bCs/>
          <w:sz w:val="20"/>
          <w:szCs w:val="20"/>
          <w:shd w:val="clear" w:color="auto" w:fill="FFFFFF"/>
        </w:rPr>
        <w:t>- Tranche ferme :</w:t>
      </w:r>
    </w:p>
    <w:p w14:paraId="06ACB5EE"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VRD AMENAGEMENTS PAYSAGERS - PHASE 01 - NEUTRALISATION, REPRISE ET DEVOIEMENT DES RESEAUX</w:t>
      </w:r>
    </w:p>
    <w:p w14:paraId="2ACC1E1D"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VRD AMENAGEMENTS PAYSAGERS - PHASE 03 - CREATION DU PARVIS ET RVTS SOLS PREAU</w:t>
      </w:r>
    </w:p>
    <w:p w14:paraId="73AC1047"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ab/>
        <w:t>PSE 04 : création d'un enclos vélos et poubelles</w:t>
      </w:r>
    </w:p>
    <w:p w14:paraId="2AF97A84"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ab/>
        <w:t>PSE 01 : création d'un préau d'entrée maternelle</w:t>
      </w:r>
    </w:p>
    <w:p w14:paraId="3FDDE435"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VRD AMENAGEMENTS PAYSAGERS - PHASE 05 - CREATION COUR MATERNELLE</w:t>
      </w:r>
    </w:p>
    <w:p w14:paraId="3E889F51"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ab/>
        <w:t>PSE 05 Jeux et jardins pédagogiques cour maternelle</w:t>
      </w:r>
    </w:p>
    <w:p w14:paraId="1A54CD01" w14:textId="77777777" w:rsidR="00FE1DF0" w:rsidRDefault="00FE1DF0">
      <w:pPr>
        <w:pStyle w:val="Standard"/>
        <w:widowControl w:val="0"/>
        <w:tabs>
          <w:tab w:val="left" w:pos="509"/>
        </w:tabs>
        <w:spacing w:after="0" w:line="240" w:lineRule="auto"/>
        <w:ind w:left="117" w:right="111"/>
        <w:jc w:val="both"/>
        <w:rPr>
          <w:rFonts w:ascii="Arial" w:hAnsi="Arial" w:cs="Arial"/>
          <w:sz w:val="20"/>
          <w:szCs w:val="20"/>
          <w:shd w:val="clear" w:color="auto" w:fill="FFFFFF"/>
        </w:rPr>
      </w:pPr>
    </w:p>
    <w:p w14:paraId="42496C64"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b/>
          <w:bCs/>
          <w:sz w:val="20"/>
          <w:szCs w:val="20"/>
          <w:shd w:val="clear" w:color="auto" w:fill="FFFFFF"/>
        </w:rPr>
        <w:t>- Tranche optionnelle :</w:t>
      </w:r>
    </w:p>
    <w:p w14:paraId="15D007AE"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TO01 Phase 6 Aménagement de la cour primaire y compris changement de limite parcellaire</w:t>
      </w:r>
    </w:p>
    <w:p w14:paraId="68C35F65" w14:textId="77777777" w:rsidR="00FE1DF0" w:rsidRDefault="00FE1DF0">
      <w:pPr>
        <w:pStyle w:val="Standard"/>
        <w:widowControl w:val="0"/>
        <w:tabs>
          <w:tab w:val="left" w:pos="509"/>
        </w:tabs>
        <w:spacing w:after="0" w:line="240" w:lineRule="auto"/>
        <w:ind w:left="117" w:right="111"/>
        <w:jc w:val="both"/>
        <w:rPr>
          <w:rFonts w:ascii="Arial" w:hAnsi="Arial" w:cs="Arial"/>
          <w:sz w:val="20"/>
          <w:szCs w:val="20"/>
          <w:shd w:val="clear" w:color="auto" w:fill="FFFFFF"/>
        </w:rPr>
      </w:pPr>
    </w:p>
    <w:p w14:paraId="2A2FA6F2"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Les modalités d'exécution des tranches sont détaillées au CCAP.</w:t>
      </w:r>
    </w:p>
    <w:p w14:paraId="0124520F" w14:textId="77777777" w:rsidR="00FE1DF0" w:rsidRDefault="00FE1DF0">
      <w:pPr>
        <w:pStyle w:val="Standard"/>
        <w:widowControl w:val="0"/>
        <w:tabs>
          <w:tab w:val="left" w:pos="509"/>
        </w:tabs>
        <w:spacing w:after="0" w:line="240" w:lineRule="auto"/>
        <w:ind w:left="117" w:right="111"/>
        <w:jc w:val="both"/>
        <w:rPr>
          <w:rFonts w:ascii="Arial" w:hAnsi="Arial" w:cs="Arial"/>
          <w:sz w:val="20"/>
          <w:szCs w:val="20"/>
          <w:shd w:val="clear" w:color="auto" w:fill="FFFFFF"/>
        </w:rPr>
      </w:pPr>
    </w:p>
    <w:p w14:paraId="696CA924"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Le pouvoir adjudicateur choisit de ne pas prévoir un dédit.</w:t>
      </w:r>
    </w:p>
    <w:p w14:paraId="08A1C3EB" w14:textId="77777777" w:rsidR="00FE1DF0" w:rsidRDefault="00FE1DF0">
      <w:pPr>
        <w:pStyle w:val="Standard"/>
        <w:widowControl w:val="0"/>
        <w:tabs>
          <w:tab w:val="left" w:pos="509"/>
        </w:tabs>
        <w:spacing w:after="0" w:line="240" w:lineRule="auto"/>
        <w:ind w:left="117" w:right="111"/>
        <w:jc w:val="both"/>
        <w:rPr>
          <w:rFonts w:ascii="Arial" w:hAnsi="Arial" w:cs="Arial"/>
          <w:sz w:val="20"/>
          <w:szCs w:val="20"/>
          <w:shd w:val="clear" w:color="auto" w:fill="FFFFFF"/>
        </w:rPr>
      </w:pPr>
    </w:p>
    <w:p w14:paraId="40E5B449"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Il ne sera pas accordé au titulaire d'indemnité d'attente.</w:t>
      </w:r>
    </w:p>
    <w:p w14:paraId="47422AE9" w14:textId="77777777" w:rsidR="00FE1DF0" w:rsidRDefault="00FE1DF0">
      <w:pPr>
        <w:pStyle w:val="Standard"/>
        <w:widowControl w:val="0"/>
        <w:tabs>
          <w:tab w:val="left" w:pos="392"/>
        </w:tabs>
        <w:spacing w:after="0" w:line="240" w:lineRule="auto"/>
        <w:ind w:right="111"/>
        <w:jc w:val="both"/>
        <w:rPr>
          <w:rFonts w:ascii="Arial" w:hAnsi="Arial" w:cs="Arial"/>
          <w:iCs/>
          <w:color w:val="000000"/>
          <w:sz w:val="20"/>
          <w:szCs w:val="20"/>
          <w:shd w:val="clear" w:color="auto" w:fill="FFFFFF"/>
        </w:rPr>
      </w:pPr>
    </w:p>
    <w:p w14:paraId="5075170B"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shd w:val="clear" w:color="auto" w:fill="FFFFFF"/>
        </w:rPr>
      </w:pPr>
      <w:r>
        <w:rPr>
          <w:rFonts w:ascii="Arial" w:hAnsi="Arial" w:cs="Arial"/>
          <w:b/>
          <w:bCs/>
          <w:color w:val="000000"/>
          <w:sz w:val="20"/>
          <w:szCs w:val="20"/>
          <w:shd w:val="clear" w:color="auto" w:fill="FFFFFF"/>
        </w:rPr>
        <w:t>Objet du contrat :</w:t>
      </w:r>
    </w:p>
    <w:p w14:paraId="3701D823" w14:textId="77777777" w:rsidR="00FE1DF0" w:rsidRDefault="00FE1DF0">
      <w:pPr>
        <w:pStyle w:val="Standard"/>
        <w:keepNext/>
        <w:keepLines/>
        <w:widowControl w:val="0"/>
        <w:tabs>
          <w:tab w:val="left" w:pos="828"/>
        </w:tabs>
        <w:spacing w:after="0" w:line="240" w:lineRule="auto"/>
        <w:jc w:val="both"/>
        <w:rPr>
          <w:rFonts w:ascii="Arial" w:hAnsi="Arial" w:cs="Arial"/>
          <w:b/>
          <w:bCs/>
          <w:color w:val="000000"/>
          <w:sz w:val="20"/>
          <w:szCs w:val="20"/>
          <w:shd w:val="clear" w:color="auto" w:fill="FFFFFF"/>
        </w:rPr>
      </w:pPr>
    </w:p>
    <w:p w14:paraId="5CCD9A11" w14:textId="77777777" w:rsidR="00FE1DF0" w:rsidRDefault="00E1399F">
      <w:pPr>
        <w:pStyle w:val="Standard"/>
        <w:widowControl w:val="0"/>
        <w:tabs>
          <w:tab w:val="left" w:pos="392"/>
        </w:tabs>
        <w:spacing w:after="0" w:line="240" w:lineRule="auto"/>
        <w:ind w:right="111"/>
        <w:jc w:val="both"/>
        <w:rPr>
          <w:rFonts w:hint="eastAsia"/>
          <w:shd w:val="clear" w:color="auto" w:fill="FFFFFF"/>
        </w:rPr>
      </w:pPr>
      <w:r>
        <w:rPr>
          <w:rFonts w:ascii="Arial" w:hAnsi="Arial" w:cs="Arial"/>
          <w:color w:val="000000"/>
          <w:sz w:val="20"/>
          <w:szCs w:val="20"/>
          <w:shd w:val="clear" w:color="auto" w:fill="FFFFFF"/>
        </w:rPr>
        <w:t>Le contrat porte sur : Travaux de démolition et de construction de l’école maternelle Henri Matisse à Vred</w:t>
      </w:r>
    </w:p>
    <w:p w14:paraId="569C78D5" w14:textId="77777777" w:rsidR="00FE1DF0" w:rsidRDefault="00FE1DF0">
      <w:pPr>
        <w:pStyle w:val="Standard"/>
        <w:widowControl w:val="0"/>
        <w:tabs>
          <w:tab w:val="left" w:pos="392"/>
        </w:tabs>
        <w:spacing w:after="0" w:line="240" w:lineRule="auto"/>
        <w:ind w:right="111"/>
        <w:jc w:val="both"/>
        <w:rPr>
          <w:rFonts w:ascii="Arial" w:hAnsi="Arial" w:cs="Arial"/>
          <w:color w:val="000000"/>
          <w:sz w:val="20"/>
          <w:szCs w:val="20"/>
          <w:shd w:val="clear" w:color="auto" w:fill="FFFFFF"/>
        </w:rPr>
      </w:pPr>
    </w:p>
    <w:p w14:paraId="4BD46A7B" w14:textId="77777777" w:rsidR="00FE1DF0" w:rsidRDefault="00E1399F">
      <w:pPr>
        <w:pStyle w:val="Standard"/>
        <w:widowControl w:val="0"/>
        <w:tabs>
          <w:tab w:val="left" w:pos="392"/>
        </w:tabs>
        <w:spacing w:after="0" w:line="240" w:lineRule="auto"/>
        <w:ind w:right="111"/>
        <w:jc w:val="both"/>
        <w:rPr>
          <w:rFonts w:hint="eastAsia"/>
          <w:shd w:val="clear" w:color="auto" w:fill="FFFFFF"/>
        </w:rPr>
      </w:pPr>
      <w:r>
        <w:rPr>
          <w:rFonts w:ascii="Arial" w:hAnsi="Arial" w:cs="Arial"/>
          <w:color w:val="000000"/>
          <w:sz w:val="20"/>
          <w:szCs w:val="20"/>
          <w:shd w:val="clear" w:color="auto" w:fill="FFFFFF"/>
        </w:rPr>
        <w:t>Les travaux objet du présent contrat portent sur la démolition de l’ancienne école maternelle et la construction d’une nouvelle dans la continuité de l’Ecole primaire située au 25 desserte du Foyer Rural 5987 Vred.</w:t>
      </w:r>
    </w:p>
    <w:p w14:paraId="2F05C820" w14:textId="77777777" w:rsidR="00FE1DF0" w:rsidRDefault="00E1399F">
      <w:pPr>
        <w:pStyle w:val="Standard"/>
        <w:widowControl w:val="0"/>
        <w:tabs>
          <w:tab w:val="left" w:pos="392"/>
        </w:tabs>
        <w:spacing w:after="0" w:line="240" w:lineRule="auto"/>
        <w:ind w:right="111"/>
        <w:jc w:val="both"/>
        <w:rPr>
          <w:rFonts w:hint="eastAsia"/>
          <w:shd w:val="clear" w:color="auto" w:fill="FFFFFF"/>
        </w:rPr>
      </w:pPr>
      <w:r>
        <w:rPr>
          <w:rFonts w:ascii="Arial" w:hAnsi="Arial" w:cs="Arial"/>
          <w:color w:val="000000"/>
          <w:sz w:val="20"/>
          <w:szCs w:val="20"/>
          <w:shd w:val="clear" w:color="auto" w:fill="FFFFFF"/>
        </w:rPr>
        <w:t>Il y a 14 lots qui constitue l’opération.</w:t>
      </w:r>
    </w:p>
    <w:p w14:paraId="0BDB4C7E" w14:textId="77777777" w:rsidR="00FE1DF0" w:rsidRDefault="00FE1DF0">
      <w:pPr>
        <w:pStyle w:val="Standard"/>
        <w:keepNext/>
        <w:keepLines/>
        <w:widowControl w:val="0"/>
        <w:tabs>
          <w:tab w:val="left" w:pos="828"/>
        </w:tabs>
        <w:spacing w:after="0" w:line="240" w:lineRule="auto"/>
        <w:jc w:val="both"/>
        <w:rPr>
          <w:rFonts w:ascii="Arial" w:hAnsi="Arial" w:cs="Arial"/>
          <w:shd w:val="clear" w:color="auto" w:fill="FFFFFF"/>
        </w:rPr>
      </w:pPr>
    </w:p>
    <w:p w14:paraId="77124195" w14:textId="77777777" w:rsidR="00FE1DF0" w:rsidRDefault="00E1399F">
      <w:pPr>
        <w:pStyle w:val="Standard"/>
        <w:keepNext/>
        <w:keepLines/>
        <w:widowControl w:val="0"/>
        <w:tabs>
          <w:tab w:val="left" w:pos="828"/>
        </w:tabs>
        <w:spacing w:after="0" w:line="240" w:lineRule="auto"/>
        <w:jc w:val="both"/>
        <w:rPr>
          <w:rFonts w:hint="eastAsia"/>
          <w:shd w:val="clear" w:color="auto" w:fill="FFFFFF"/>
        </w:rPr>
      </w:pPr>
      <w:r>
        <w:rPr>
          <w:rFonts w:ascii="Arial" w:hAnsi="Arial" w:cs="Arial"/>
          <w:color w:val="000000"/>
          <w:sz w:val="20"/>
          <w:szCs w:val="20"/>
          <w:shd w:val="clear" w:color="auto" w:fill="FFFFFF"/>
        </w:rPr>
        <w:t>Les prestations sont davantage définies aux différents CCTP</w:t>
      </w:r>
    </w:p>
    <w:p w14:paraId="126AD9BB" w14:textId="77777777" w:rsidR="00FE1DF0" w:rsidRDefault="00FE1DF0">
      <w:pPr>
        <w:pStyle w:val="Standard"/>
        <w:widowControl w:val="0"/>
        <w:tabs>
          <w:tab w:val="left" w:pos="392"/>
        </w:tabs>
        <w:spacing w:after="0" w:line="240" w:lineRule="auto"/>
        <w:ind w:right="111"/>
        <w:jc w:val="both"/>
        <w:rPr>
          <w:rFonts w:ascii="Arial" w:hAnsi="Arial" w:cs="Arial"/>
          <w:iCs/>
          <w:color w:val="000000"/>
          <w:sz w:val="20"/>
          <w:szCs w:val="20"/>
          <w:shd w:val="clear" w:color="auto" w:fill="FFFFFF"/>
        </w:rPr>
      </w:pPr>
    </w:p>
    <w:tbl>
      <w:tblPr>
        <w:tblW w:w="9185" w:type="dxa"/>
        <w:tblInd w:w="19" w:type="dxa"/>
        <w:tblLayout w:type="fixed"/>
        <w:tblCellMar>
          <w:left w:w="0" w:type="dxa"/>
          <w:right w:w="0" w:type="dxa"/>
        </w:tblCellMar>
        <w:tblLook w:val="0000" w:firstRow="0" w:lastRow="0" w:firstColumn="0" w:lastColumn="0" w:noHBand="0" w:noVBand="0"/>
      </w:tblPr>
      <w:tblGrid>
        <w:gridCol w:w="2379"/>
        <w:gridCol w:w="6806"/>
      </w:tblGrid>
      <w:tr w:rsidR="00FE1DF0" w14:paraId="14F6AA64" w14:textId="77777777">
        <w:trPr>
          <w:cantSplit/>
          <w:tblHeader/>
        </w:trPr>
        <w:tc>
          <w:tcPr>
            <w:tcW w:w="237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82FA44A" w14:textId="77777777" w:rsidR="00FE1DF0" w:rsidRDefault="00E1399F">
            <w:pPr>
              <w:pStyle w:val="Standard"/>
              <w:keepLines/>
              <w:widowControl w:val="0"/>
              <w:spacing w:before="60" w:after="60" w:line="240" w:lineRule="auto"/>
              <w:ind w:left="108" w:right="108"/>
              <w:jc w:val="center"/>
              <w:rPr>
                <w:rFonts w:hint="eastAsia"/>
                <w:shd w:val="clear" w:color="auto" w:fill="FFFFFF"/>
              </w:rPr>
            </w:pPr>
            <w:r>
              <w:rPr>
                <w:rFonts w:ascii="Arial" w:hAnsi="Arial" w:cs="Arial"/>
                <w:color w:val="FFFFFF"/>
                <w:sz w:val="18"/>
                <w:szCs w:val="18"/>
                <w:shd w:val="clear" w:color="auto" w:fill="FFFFFF"/>
              </w:rPr>
              <w:t>Code CPV Principal</w:t>
            </w:r>
          </w:p>
        </w:tc>
        <w:tc>
          <w:tcPr>
            <w:tcW w:w="6806" w:type="dxa"/>
            <w:tcBorders>
              <w:top w:val="single" w:sz="8" w:space="0" w:color="D9D9D9"/>
              <w:left w:val="single" w:sz="8" w:space="0" w:color="D9D9D9"/>
              <w:bottom w:val="single" w:sz="8" w:space="0" w:color="D9D9D9"/>
              <w:right w:val="single" w:sz="8" w:space="0" w:color="D9D9D9"/>
            </w:tcBorders>
            <w:shd w:val="clear" w:color="auto" w:fill="595959"/>
          </w:tcPr>
          <w:p w14:paraId="46BE7E0E" w14:textId="77777777" w:rsidR="00FE1DF0" w:rsidRDefault="00E1399F">
            <w:pPr>
              <w:pStyle w:val="Standard"/>
              <w:keepLines/>
              <w:widowControl w:val="0"/>
              <w:spacing w:before="60" w:after="60" w:line="240" w:lineRule="auto"/>
              <w:ind w:left="108" w:right="95"/>
              <w:jc w:val="center"/>
              <w:rPr>
                <w:rFonts w:hint="eastAsia"/>
                <w:shd w:val="clear" w:color="auto" w:fill="FFFFFF"/>
              </w:rPr>
            </w:pPr>
            <w:r>
              <w:rPr>
                <w:rFonts w:ascii="Arial" w:hAnsi="Arial" w:cs="Arial"/>
                <w:color w:val="FFFFFF"/>
                <w:sz w:val="18"/>
                <w:szCs w:val="18"/>
                <w:shd w:val="clear" w:color="auto" w:fill="FFFFFF"/>
              </w:rPr>
              <w:t>Libellé CPV</w:t>
            </w:r>
          </w:p>
        </w:tc>
      </w:tr>
      <w:tr w:rsidR="00FE1DF0" w14:paraId="06FA38E5"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55F386DC"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45214200-2</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7A89792A"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construction de bâtiments scolaires</w:t>
            </w:r>
          </w:p>
        </w:tc>
      </w:tr>
      <w:tr w:rsidR="00FE1DF0" w14:paraId="341FDD35" w14:textId="77777777">
        <w:tc>
          <w:tcPr>
            <w:tcW w:w="237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8656DC0" w14:textId="77777777" w:rsidR="00FE1DF0" w:rsidRDefault="00E1399F">
            <w:pPr>
              <w:pStyle w:val="Standard"/>
              <w:keepLines/>
              <w:widowControl w:val="0"/>
              <w:spacing w:before="60" w:after="60" w:line="240" w:lineRule="auto"/>
              <w:ind w:left="108" w:right="108"/>
              <w:jc w:val="center"/>
              <w:rPr>
                <w:rFonts w:hint="eastAsia"/>
                <w:shd w:val="clear" w:color="auto" w:fill="FFFFFF"/>
              </w:rPr>
            </w:pPr>
            <w:r>
              <w:rPr>
                <w:rFonts w:ascii="Arial" w:hAnsi="Arial" w:cs="Arial"/>
                <w:color w:val="FFFFFF"/>
                <w:sz w:val="18"/>
                <w:szCs w:val="18"/>
                <w:shd w:val="clear" w:color="auto" w:fill="FFFFFF"/>
              </w:rPr>
              <w:t>Codes CPV</w:t>
            </w:r>
          </w:p>
        </w:tc>
        <w:tc>
          <w:tcPr>
            <w:tcW w:w="6806" w:type="dxa"/>
            <w:tcBorders>
              <w:top w:val="single" w:sz="8" w:space="0" w:color="D9D9D9"/>
              <w:left w:val="single" w:sz="8" w:space="0" w:color="D9D9D9"/>
              <w:bottom w:val="single" w:sz="8" w:space="0" w:color="D9D9D9"/>
              <w:right w:val="single" w:sz="8" w:space="0" w:color="D9D9D9"/>
            </w:tcBorders>
            <w:shd w:val="clear" w:color="auto" w:fill="595959"/>
          </w:tcPr>
          <w:p w14:paraId="7630404E" w14:textId="77777777" w:rsidR="00FE1DF0" w:rsidRDefault="00E1399F">
            <w:pPr>
              <w:pStyle w:val="Standard"/>
              <w:keepLines/>
              <w:widowControl w:val="0"/>
              <w:spacing w:before="60" w:after="60" w:line="240" w:lineRule="auto"/>
              <w:ind w:left="108" w:right="95"/>
              <w:jc w:val="center"/>
              <w:rPr>
                <w:rFonts w:hint="eastAsia"/>
                <w:shd w:val="clear" w:color="auto" w:fill="FFFFFF"/>
              </w:rPr>
            </w:pPr>
            <w:r>
              <w:rPr>
                <w:rFonts w:ascii="Arial" w:hAnsi="Arial" w:cs="Arial"/>
                <w:color w:val="FFFFFF"/>
                <w:sz w:val="18"/>
                <w:szCs w:val="18"/>
                <w:shd w:val="clear" w:color="auto" w:fill="FFFFFF"/>
              </w:rPr>
              <w:t>Libellé CPV</w:t>
            </w:r>
          </w:p>
        </w:tc>
      </w:tr>
      <w:tr w:rsidR="00FE1DF0" w14:paraId="23D453E0"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4576113F"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45223220-4</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5D80734E"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gros œuvre</w:t>
            </w:r>
          </w:p>
        </w:tc>
      </w:tr>
      <w:tr w:rsidR="00FE1DF0" w14:paraId="639040C7"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23A2785E"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45261100-5</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2AF06645"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charpente</w:t>
            </w:r>
          </w:p>
        </w:tc>
      </w:tr>
      <w:tr w:rsidR="00FE1DF0" w14:paraId="04CF8B34"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3011F8B9"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lastRenderedPageBreak/>
              <w:t>45443000-4</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3C7F904C"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façade</w:t>
            </w:r>
          </w:p>
        </w:tc>
      </w:tr>
      <w:tr w:rsidR="00FE1DF0" w14:paraId="2B9470C4"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291C0A55"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45262650-2</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33C51A73"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bardage</w:t>
            </w:r>
          </w:p>
        </w:tc>
      </w:tr>
      <w:tr w:rsidR="00FE1DF0" w14:paraId="7B55C3D7"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78B6D183"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45260000-7</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18908547"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couverture et travaux d'autres corps de métier spécialisés</w:t>
            </w:r>
          </w:p>
        </w:tc>
      </w:tr>
      <w:tr w:rsidR="00FE1DF0" w14:paraId="54E7774E"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24470126"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45261420-4</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5303D3F6"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d'étanchéification</w:t>
            </w:r>
          </w:p>
        </w:tc>
      </w:tr>
      <w:tr w:rsidR="00FE1DF0" w14:paraId="32D76E90"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4ED8DD9A"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45261210-9</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70BA36DB"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couverture</w:t>
            </w:r>
          </w:p>
        </w:tc>
      </w:tr>
      <w:tr w:rsidR="00FE1DF0" w14:paraId="1EED290F"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0DB95FA9"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45421000-4</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1B97859A"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menuiserie</w:t>
            </w:r>
          </w:p>
        </w:tc>
      </w:tr>
      <w:tr w:rsidR="00FE1DF0" w14:paraId="3914A2B9"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0B4CDC33"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45410000-4</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1EA84966"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plâtrerie</w:t>
            </w:r>
          </w:p>
        </w:tc>
      </w:tr>
      <w:tr w:rsidR="00FE1DF0" w14:paraId="50ECCD15"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67B376C9"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45420000-7</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6AE0E637"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menuiserie et de charpenterie</w:t>
            </w:r>
          </w:p>
        </w:tc>
      </w:tr>
      <w:tr w:rsidR="00FE1DF0" w14:paraId="7EE91CD7"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27847745"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45431000-7</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1FE06756"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Carrelages</w:t>
            </w:r>
          </w:p>
        </w:tc>
      </w:tr>
      <w:tr w:rsidR="00FE1DF0" w14:paraId="0EA36D99"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500452B3"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45430000-0</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50E57AC3"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Revêtement de sols et de murs</w:t>
            </w:r>
          </w:p>
        </w:tc>
      </w:tr>
      <w:tr w:rsidR="00FE1DF0" w14:paraId="71E96B20"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2EB0497F"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45442100-8</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3C00487B"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peinture</w:t>
            </w:r>
          </w:p>
        </w:tc>
      </w:tr>
      <w:tr w:rsidR="00FE1DF0" w14:paraId="08A64F5D"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22BF9FAA"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45311200-2</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2C5D0C1C"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d'installations électriques</w:t>
            </w:r>
          </w:p>
        </w:tc>
      </w:tr>
      <w:tr w:rsidR="00FE1DF0" w14:paraId="241588F3"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6F3F574F"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45533100-6</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6C055833"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d'installation de matériel de chauffage, de ventilation et de climatisation</w:t>
            </w:r>
          </w:p>
        </w:tc>
      </w:tr>
      <w:tr w:rsidR="00FE1DF0" w14:paraId="66C0179C"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6933A5D2"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45232141-2</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7D6D576E"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Installations de chauffage</w:t>
            </w:r>
          </w:p>
        </w:tc>
      </w:tr>
      <w:tr w:rsidR="00FE1DF0" w14:paraId="7BB4CA86"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7256B73A"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45330000-9</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03C01A12" w14:textId="77777777" w:rsidR="00FE1DF0" w:rsidRDefault="00E1399F">
            <w:pPr>
              <w:pStyle w:val="Default"/>
              <w:jc w:val="both"/>
              <w:rPr>
                <w:shd w:val="clear" w:color="auto" w:fill="FFFFFF"/>
              </w:rPr>
            </w:pPr>
            <w:r>
              <w:rPr>
                <w:sz w:val="16"/>
                <w:szCs w:val="16"/>
                <w:shd w:val="clear" w:color="auto" w:fill="FFFFFF"/>
              </w:rPr>
              <w:t xml:space="preserve">  </w:t>
            </w:r>
            <w:r>
              <w:rPr>
                <w:sz w:val="16"/>
                <w:szCs w:val="16"/>
                <w:shd w:val="clear" w:color="auto" w:fill="FFFFFF"/>
              </w:rPr>
              <w:t>Travaux de plomberie</w:t>
            </w:r>
          </w:p>
        </w:tc>
      </w:tr>
      <w:tr w:rsidR="00FE1DF0" w14:paraId="7321EEEB"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61CA7A67"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45200000-9</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2FC6A7D9" w14:textId="77777777" w:rsidR="00FE1DF0" w:rsidRDefault="00E1399F">
            <w:pPr>
              <w:pStyle w:val="Standard"/>
              <w:tabs>
                <w:tab w:val="right" w:leader="underscore" w:pos="10479"/>
              </w:tabs>
              <w:spacing w:after="0"/>
              <w:jc w:val="both"/>
              <w:rPr>
                <w:rFonts w:hint="eastAsia"/>
                <w:shd w:val="clear" w:color="auto" w:fill="FFFFFF"/>
              </w:rPr>
            </w:pPr>
            <w:r>
              <w:rPr>
                <w:rFonts w:ascii="Arial" w:hAnsi="Arial" w:cs="Arial"/>
                <w:color w:val="000000"/>
                <w:sz w:val="16"/>
                <w:szCs w:val="16"/>
                <w:shd w:val="clear" w:color="auto" w:fill="FFFFFF"/>
              </w:rPr>
              <w:t xml:space="preserve">  Travaux de construction complète ou partielle et travaux de génie civil-</w:t>
            </w:r>
          </w:p>
        </w:tc>
      </w:tr>
      <w:tr w:rsidR="00FE1DF0" w14:paraId="1CC0D385"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77D7AB53"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45112500-0</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27D47608"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terrassement</w:t>
            </w:r>
          </w:p>
        </w:tc>
      </w:tr>
      <w:tr w:rsidR="00FE1DF0" w14:paraId="0E5AEA7A"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2C7F5B27"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45112000-5</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2CD8A5BC"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fouille et de terrassement</w:t>
            </w:r>
          </w:p>
        </w:tc>
      </w:tr>
      <w:tr w:rsidR="00FE1DF0" w14:paraId="577F7504"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50E2013E"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45112710-5</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095686D6"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d'aménagement paysager d'espaces verts</w:t>
            </w:r>
          </w:p>
        </w:tc>
      </w:tr>
      <w:tr w:rsidR="00FE1DF0" w14:paraId="03FDC090"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4FB8F9E9"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45340000-2</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06584939"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d'installation de clôtures, de garde-corps et de dispositifs de sécurité</w:t>
            </w:r>
          </w:p>
        </w:tc>
      </w:tr>
      <w:tr w:rsidR="00FE1DF0" w14:paraId="4AECCC6C" w14:textId="77777777">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38D11846"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45111100-9</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489D059A"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démolition</w:t>
            </w:r>
          </w:p>
        </w:tc>
      </w:tr>
      <w:tr w:rsidR="00FE1DF0" w14:paraId="45C60281" w14:textId="77777777">
        <w:trPr>
          <w:trHeight w:val="81"/>
        </w:trPr>
        <w:tc>
          <w:tcPr>
            <w:tcW w:w="2379" w:type="dxa"/>
            <w:tcBorders>
              <w:top w:val="single" w:sz="8" w:space="0" w:color="D9D9D9"/>
              <w:left w:val="single" w:sz="8" w:space="0" w:color="D9D9D9"/>
              <w:bottom w:val="single" w:sz="8" w:space="0" w:color="D9D9D9"/>
              <w:right w:val="single" w:sz="8" w:space="0" w:color="D9D9D9"/>
            </w:tcBorders>
            <w:shd w:val="clear" w:color="auto" w:fill="FFFFFF"/>
          </w:tcPr>
          <w:p w14:paraId="796B1F27" w14:textId="77777777" w:rsidR="00FE1DF0" w:rsidRDefault="00E1399F">
            <w:pPr>
              <w:pStyle w:val="Standard"/>
              <w:widowControl w:val="0"/>
              <w:spacing w:before="60" w:after="60" w:line="240" w:lineRule="auto"/>
              <w:ind w:left="108" w:right="108"/>
              <w:rPr>
                <w:rFonts w:hint="eastAsia"/>
                <w:shd w:val="clear" w:color="auto" w:fill="FFFFFF"/>
              </w:rPr>
            </w:pPr>
            <w:r>
              <w:rPr>
                <w:rFonts w:ascii="Arial" w:hAnsi="Arial" w:cs="Arial"/>
                <w:color w:val="000000"/>
                <w:sz w:val="16"/>
                <w:szCs w:val="16"/>
                <w:shd w:val="clear" w:color="auto" w:fill="FFFFFF"/>
              </w:rPr>
              <w:t>45262660-5</w:t>
            </w:r>
          </w:p>
        </w:tc>
        <w:tc>
          <w:tcPr>
            <w:tcW w:w="6806" w:type="dxa"/>
            <w:tcBorders>
              <w:top w:val="single" w:sz="8" w:space="0" w:color="D9D9D9"/>
              <w:left w:val="single" w:sz="8" w:space="0" w:color="D9D9D9"/>
              <w:bottom w:val="single" w:sz="8" w:space="0" w:color="D9D9D9"/>
              <w:right w:val="single" w:sz="8" w:space="0" w:color="D9D9D9"/>
            </w:tcBorders>
            <w:shd w:val="clear" w:color="auto" w:fill="FFFFFF"/>
          </w:tcPr>
          <w:p w14:paraId="1D9705CB" w14:textId="77777777" w:rsidR="00FE1DF0" w:rsidRDefault="00E1399F">
            <w:pPr>
              <w:pStyle w:val="Standard"/>
              <w:widowControl w:val="0"/>
              <w:spacing w:before="60" w:after="60" w:line="240" w:lineRule="auto"/>
              <w:ind w:left="108" w:right="95"/>
              <w:rPr>
                <w:rFonts w:hint="eastAsia"/>
                <w:shd w:val="clear" w:color="auto" w:fill="FFFFFF"/>
              </w:rPr>
            </w:pPr>
            <w:r>
              <w:rPr>
                <w:rFonts w:ascii="Arial" w:hAnsi="Arial" w:cs="Arial"/>
                <w:color w:val="000000"/>
                <w:sz w:val="16"/>
                <w:szCs w:val="16"/>
                <w:shd w:val="clear" w:color="auto" w:fill="FFFFFF"/>
              </w:rPr>
              <w:t>Travaux de désamiantage</w:t>
            </w:r>
          </w:p>
        </w:tc>
      </w:tr>
    </w:tbl>
    <w:p w14:paraId="585AECD2" w14:textId="77777777" w:rsidR="00FE1DF0" w:rsidRDefault="00FE1DF0">
      <w:pPr>
        <w:pStyle w:val="Standard"/>
        <w:widowControl w:val="0"/>
        <w:tabs>
          <w:tab w:val="left" w:pos="1184"/>
          <w:tab w:val="left" w:pos="1220"/>
        </w:tabs>
        <w:spacing w:after="0" w:line="240" w:lineRule="auto"/>
        <w:ind w:left="828" w:right="111"/>
        <w:jc w:val="both"/>
        <w:rPr>
          <w:rFonts w:ascii="Arial" w:hAnsi="Arial" w:cs="Arial"/>
          <w:iCs/>
          <w:color w:val="000000"/>
          <w:sz w:val="20"/>
          <w:szCs w:val="20"/>
          <w:shd w:val="clear" w:color="auto" w:fill="FFFFFF"/>
        </w:rPr>
      </w:pPr>
    </w:p>
    <w:p w14:paraId="333C2BF3" w14:textId="77777777" w:rsidR="00FE1DF0" w:rsidRDefault="00E1399F">
      <w:pPr>
        <w:pStyle w:val="Standard"/>
        <w:widowControl w:val="0"/>
        <w:numPr>
          <w:ilvl w:val="0"/>
          <w:numId w:val="10"/>
        </w:numPr>
        <w:tabs>
          <w:tab w:val="left" w:pos="356"/>
          <w:tab w:val="left" w:pos="392"/>
        </w:tabs>
        <w:spacing w:after="0" w:line="240" w:lineRule="auto"/>
        <w:ind w:left="0" w:right="111" w:firstLine="0"/>
        <w:jc w:val="both"/>
        <w:rPr>
          <w:rFonts w:hint="eastAsia"/>
        </w:rPr>
      </w:pPr>
      <w:r>
        <w:rPr>
          <w:rFonts w:ascii="Arial" w:hAnsi="Arial" w:cs="Arial"/>
          <w:b/>
          <w:bCs/>
          <w:iCs/>
          <w:color w:val="000000"/>
          <w:sz w:val="20"/>
          <w:szCs w:val="20"/>
        </w:rPr>
        <w:t>Durée du marché :</w:t>
      </w:r>
    </w:p>
    <w:p w14:paraId="266EE631" w14:textId="77777777" w:rsidR="00FE1DF0" w:rsidRDefault="00FE1DF0">
      <w:pPr>
        <w:pStyle w:val="Standard"/>
        <w:widowControl w:val="0"/>
        <w:tabs>
          <w:tab w:val="left" w:pos="392"/>
        </w:tabs>
        <w:spacing w:after="0" w:line="240" w:lineRule="auto"/>
        <w:ind w:right="111"/>
        <w:jc w:val="both"/>
        <w:rPr>
          <w:rFonts w:ascii="Arial" w:hAnsi="Arial" w:cs="Arial"/>
          <w:iCs/>
          <w:color w:val="000000"/>
          <w:sz w:val="20"/>
          <w:szCs w:val="20"/>
        </w:rPr>
      </w:pPr>
    </w:p>
    <w:p w14:paraId="0781A246" w14:textId="77777777" w:rsidR="00FE1DF0" w:rsidRDefault="00FE1DF0">
      <w:pPr>
        <w:pStyle w:val="Standard"/>
        <w:widowControl w:val="0"/>
        <w:tabs>
          <w:tab w:val="left" w:pos="392"/>
        </w:tabs>
        <w:spacing w:after="0" w:line="240" w:lineRule="auto"/>
        <w:ind w:right="111"/>
        <w:jc w:val="both"/>
        <w:rPr>
          <w:rFonts w:ascii="Arial" w:hAnsi="Arial" w:cs="Arial"/>
          <w:iCs/>
          <w:color w:val="000000"/>
          <w:sz w:val="20"/>
          <w:szCs w:val="20"/>
        </w:rPr>
      </w:pPr>
    </w:p>
    <w:p w14:paraId="133AFAF3" w14:textId="77777777" w:rsidR="00FE1DF0" w:rsidRDefault="00E1399F">
      <w:pPr>
        <w:pStyle w:val="Standard"/>
        <w:widowControl w:val="0"/>
        <w:tabs>
          <w:tab w:val="left" w:pos="392"/>
        </w:tabs>
        <w:spacing w:after="0" w:line="240" w:lineRule="auto"/>
        <w:ind w:right="111"/>
        <w:jc w:val="both"/>
        <w:rPr>
          <w:rFonts w:hint="eastAsia"/>
        </w:rPr>
      </w:pPr>
      <w:r>
        <w:rPr>
          <w:rFonts w:ascii="Arial" w:hAnsi="Arial" w:cs="Arial"/>
          <w:iCs/>
          <w:color w:val="000000"/>
          <w:sz w:val="20"/>
          <w:szCs w:val="20"/>
        </w:rPr>
        <w:t>Date prévisionnelle de démarrage des travaux : mi-juillet 2026</w:t>
      </w:r>
    </w:p>
    <w:p w14:paraId="58B9F380" w14:textId="77777777" w:rsidR="00FE1DF0" w:rsidRDefault="00FE1DF0">
      <w:pPr>
        <w:pStyle w:val="Standard"/>
        <w:widowControl w:val="0"/>
        <w:tabs>
          <w:tab w:val="left" w:pos="392"/>
        </w:tabs>
        <w:spacing w:after="0" w:line="240" w:lineRule="auto"/>
        <w:ind w:right="111"/>
        <w:jc w:val="both"/>
        <w:rPr>
          <w:rFonts w:ascii="Arial" w:hAnsi="Arial" w:cs="Arial"/>
          <w:iCs/>
          <w:color w:val="000000"/>
          <w:sz w:val="20"/>
          <w:szCs w:val="20"/>
        </w:rPr>
      </w:pPr>
    </w:p>
    <w:p w14:paraId="70BF4A51" w14:textId="77777777" w:rsidR="00FE1DF0" w:rsidRDefault="00E1399F">
      <w:pPr>
        <w:pStyle w:val="Standard"/>
        <w:ind w:left="141" w:right="684"/>
        <w:jc w:val="both"/>
        <w:rPr>
          <w:rFonts w:hint="eastAsia"/>
        </w:rPr>
      </w:pPr>
      <w:r>
        <w:rPr>
          <w:rFonts w:ascii="Arial" w:hAnsi="Arial" w:cs="Arial"/>
          <w:sz w:val="20"/>
          <w:szCs w:val="20"/>
        </w:rPr>
        <w:t>Le</w:t>
      </w:r>
      <w:r>
        <w:rPr>
          <w:rFonts w:ascii="Arial" w:hAnsi="Arial" w:cs="Arial"/>
          <w:spacing w:val="-5"/>
          <w:sz w:val="20"/>
          <w:szCs w:val="20"/>
        </w:rPr>
        <w:t xml:space="preserve"> </w:t>
      </w:r>
      <w:r>
        <w:rPr>
          <w:rFonts w:ascii="Arial" w:hAnsi="Arial" w:cs="Arial"/>
          <w:sz w:val="20"/>
          <w:szCs w:val="20"/>
        </w:rPr>
        <w:t>marché</w:t>
      </w:r>
      <w:r>
        <w:rPr>
          <w:rFonts w:ascii="Arial" w:hAnsi="Arial" w:cs="Arial"/>
          <w:spacing w:val="-5"/>
          <w:sz w:val="20"/>
          <w:szCs w:val="20"/>
        </w:rPr>
        <w:t xml:space="preserve"> </w:t>
      </w:r>
      <w:r>
        <w:rPr>
          <w:rFonts w:ascii="Arial" w:hAnsi="Arial" w:cs="Arial"/>
          <w:sz w:val="20"/>
          <w:szCs w:val="20"/>
        </w:rPr>
        <w:t>est</w:t>
      </w:r>
      <w:r>
        <w:rPr>
          <w:rFonts w:ascii="Arial" w:hAnsi="Arial" w:cs="Arial"/>
          <w:spacing w:val="-4"/>
          <w:sz w:val="20"/>
          <w:szCs w:val="20"/>
        </w:rPr>
        <w:t xml:space="preserve"> </w:t>
      </w:r>
      <w:r>
        <w:rPr>
          <w:rFonts w:ascii="Arial" w:hAnsi="Arial" w:cs="Arial"/>
          <w:sz w:val="20"/>
          <w:szCs w:val="20"/>
        </w:rPr>
        <w:t>conclu</w:t>
      </w:r>
      <w:r>
        <w:rPr>
          <w:rFonts w:ascii="Arial" w:hAnsi="Arial" w:cs="Arial"/>
          <w:spacing w:val="-2"/>
          <w:sz w:val="20"/>
          <w:szCs w:val="20"/>
        </w:rPr>
        <w:t xml:space="preserve"> </w:t>
      </w:r>
      <w:r>
        <w:rPr>
          <w:rFonts w:ascii="Arial" w:hAnsi="Arial" w:cs="Arial"/>
          <w:sz w:val="20"/>
          <w:szCs w:val="20"/>
        </w:rPr>
        <w:t>pour</w:t>
      </w:r>
      <w:r>
        <w:rPr>
          <w:rFonts w:ascii="Arial" w:hAnsi="Arial" w:cs="Arial"/>
          <w:spacing w:val="-1"/>
          <w:sz w:val="20"/>
          <w:szCs w:val="20"/>
        </w:rPr>
        <w:t xml:space="preserve"> </w:t>
      </w:r>
      <w:r>
        <w:rPr>
          <w:rFonts w:ascii="Arial" w:hAnsi="Arial" w:cs="Arial"/>
          <w:sz w:val="20"/>
          <w:szCs w:val="20"/>
        </w:rPr>
        <w:t>une</w:t>
      </w:r>
      <w:r>
        <w:rPr>
          <w:rFonts w:ascii="Arial" w:hAnsi="Arial" w:cs="Arial"/>
          <w:spacing w:val="-2"/>
          <w:sz w:val="20"/>
          <w:szCs w:val="20"/>
        </w:rPr>
        <w:t xml:space="preserve"> </w:t>
      </w:r>
      <w:r>
        <w:rPr>
          <w:rFonts w:ascii="Arial" w:hAnsi="Arial" w:cs="Arial"/>
          <w:sz w:val="20"/>
          <w:szCs w:val="20"/>
        </w:rPr>
        <w:t>durée</w:t>
      </w:r>
      <w:r>
        <w:rPr>
          <w:rFonts w:ascii="Arial" w:hAnsi="Arial" w:cs="Arial"/>
          <w:spacing w:val="-2"/>
          <w:sz w:val="20"/>
          <w:szCs w:val="20"/>
        </w:rPr>
        <w:t xml:space="preserve"> </w:t>
      </w:r>
      <w:r>
        <w:rPr>
          <w:rFonts w:ascii="Arial" w:hAnsi="Arial" w:cs="Arial"/>
          <w:sz w:val="20"/>
          <w:szCs w:val="20"/>
        </w:rPr>
        <w:t>prévisionnelle</w:t>
      </w:r>
      <w:r>
        <w:rPr>
          <w:rFonts w:ascii="Arial" w:hAnsi="Arial" w:cs="Arial"/>
          <w:spacing w:val="-2"/>
          <w:sz w:val="20"/>
          <w:szCs w:val="20"/>
        </w:rPr>
        <w:t xml:space="preserve"> </w:t>
      </w:r>
      <w:r>
        <w:rPr>
          <w:rFonts w:ascii="Arial" w:hAnsi="Arial" w:cs="Arial"/>
          <w:sz w:val="20"/>
          <w:szCs w:val="20"/>
        </w:rPr>
        <w:t>de</w:t>
      </w:r>
      <w:r>
        <w:rPr>
          <w:rFonts w:ascii="Arial" w:hAnsi="Arial" w:cs="Arial"/>
          <w:spacing w:val="-4"/>
          <w:sz w:val="20"/>
          <w:szCs w:val="20"/>
        </w:rPr>
        <w:t xml:space="preserve"> </w:t>
      </w:r>
      <w:r>
        <w:rPr>
          <w:rFonts w:ascii="Arial" w:hAnsi="Arial" w:cs="Arial"/>
          <w:sz w:val="20"/>
          <w:szCs w:val="20"/>
        </w:rPr>
        <w:t>36</w:t>
      </w:r>
      <w:r>
        <w:rPr>
          <w:rFonts w:ascii="Arial" w:hAnsi="Arial" w:cs="Arial"/>
          <w:spacing w:val="-2"/>
          <w:sz w:val="20"/>
          <w:szCs w:val="20"/>
        </w:rPr>
        <w:t xml:space="preserve"> </w:t>
      </w:r>
      <w:r>
        <w:rPr>
          <w:rFonts w:ascii="Arial" w:hAnsi="Arial" w:cs="Arial"/>
          <w:sz w:val="20"/>
          <w:szCs w:val="20"/>
        </w:rPr>
        <w:t>mois</w:t>
      </w:r>
      <w:r>
        <w:rPr>
          <w:rFonts w:ascii="Arial" w:hAnsi="Arial" w:cs="Arial"/>
          <w:spacing w:val="-3"/>
          <w:sz w:val="20"/>
          <w:szCs w:val="20"/>
        </w:rPr>
        <w:t xml:space="preserve"> </w:t>
      </w:r>
      <w:r>
        <w:rPr>
          <w:rFonts w:ascii="Arial" w:hAnsi="Arial" w:cs="Arial"/>
          <w:sz w:val="20"/>
          <w:szCs w:val="20"/>
        </w:rPr>
        <w:t>à</w:t>
      </w:r>
      <w:r>
        <w:rPr>
          <w:rFonts w:ascii="Arial" w:hAnsi="Arial" w:cs="Arial"/>
          <w:spacing w:val="-5"/>
          <w:sz w:val="20"/>
          <w:szCs w:val="20"/>
        </w:rPr>
        <w:t xml:space="preserve"> </w:t>
      </w:r>
      <w:r>
        <w:rPr>
          <w:rFonts w:ascii="Arial" w:hAnsi="Arial" w:cs="Arial"/>
          <w:sz w:val="20"/>
          <w:szCs w:val="20"/>
        </w:rPr>
        <w:t>compter</w:t>
      </w:r>
      <w:r>
        <w:rPr>
          <w:rFonts w:ascii="Arial" w:hAnsi="Arial" w:cs="Arial"/>
          <w:spacing w:val="-1"/>
          <w:sz w:val="20"/>
          <w:szCs w:val="20"/>
        </w:rPr>
        <w:t xml:space="preserve"> </w:t>
      </w:r>
      <w:r>
        <w:rPr>
          <w:rFonts w:ascii="Arial" w:hAnsi="Arial" w:cs="Arial"/>
          <w:sz w:val="20"/>
          <w:szCs w:val="20"/>
        </w:rPr>
        <w:t>de</w:t>
      </w:r>
      <w:r>
        <w:rPr>
          <w:rFonts w:ascii="Arial" w:hAnsi="Arial" w:cs="Arial"/>
          <w:spacing w:val="-3"/>
          <w:sz w:val="20"/>
          <w:szCs w:val="20"/>
        </w:rPr>
        <w:t xml:space="preserve"> </w:t>
      </w:r>
      <w:r>
        <w:rPr>
          <w:rFonts w:ascii="Arial" w:hAnsi="Arial" w:cs="Arial"/>
          <w:sz w:val="20"/>
          <w:szCs w:val="20"/>
        </w:rPr>
        <w:t>la</w:t>
      </w:r>
      <w:r>
        <w:rPr>
          <w:rFonts w:ascii="Arial" w:hAnsi="Arial" w:cs="Arial"/>
          <w:spacing w:val="-2"/>
          <w:sz w:val="20"/>
          <w:szCs w:val="20"/>
        </w:rPr>
        <w:t xml:space="preserve"> </w:t>
      </w:r>
      <w:r>
        <w:rPr>
          <w:rFonts w:ascii="Arial" w:hAnsi="Arial" w:cs="Arial"/>
          <w:sz w:val="20"/>
          <w:szCs w:val="20"/>
        </w:rPr>
        <w:t>notification</w:t>
      </w:r>
      <w:r>
        <w:rPr>
          <w:rFonts w:ascii="Arial" w:hAnsi="Arial" w:cs="Arial"/>
          <w:spacing w:val="-2"/>
          <w:sz w:val="20"/>
          <w:szCs w:val="20"/>
        </w:rPr>
        <w:t xml:space="preserve"> </w:t>
      </w:r>
      <w:r>
        <w:rPr>
          <w:rFonts w:ascii="Arial" w:hAnsi="Arial" w:cs="Arial"/>
          <w:sz w:val="20"/>
          <w:szCs w:val="20"/>
        </w:rPr>
        <w:t>du</w:t>
      </w:r>
      <w:r>
        <w:rPr>
          <w:rFonts w:ascii="Arial" w:hAnsi="Arial" w:cs="Arial"/>
          <w:spacing w:val="-5"/>
          <w:sz w:val="20"/>
          <w:szCs w:val="20"/>
        </w:rPr>
        <w:t xml:space="preserve"> </w:t>
      </w:r>
      <w:r>
        <w:rPr>
          <w:rFonts w:ascii="Arial" w:hAnsi="Arial" w:cs="Arial"/>
          <w:sz w:val="20"/>
          <w:szCs w:val="20"/>
        </w:rPr>
        <w:t>contrat. Il s’achève à la date de fin des douze (12) mois de Garantie de Parfaitement Achèvement (GPA) ou après prolongation de ce délai si les réserves signalées lors de la réception des travaux ne sont pas toutes levées à la fin de cette période.</w:t>
      </w:r>
    </w:p>
    <w:p w14:paraId="7592F6F0" w14:textId="77777777" w:rsidR="00FE1DF0" w:rsidRDefault="00E1399F">
      <w:pPr>
        <w:pStyle w:val="Standard"/>
        <w:spacing w:before="228" w:after="0"/>
        <w:ind w:left="141" w:right="748"/>
        <w:jc w:val="both"/>
        <w:rPr>
          <w:rFonts w:hint="eastAsia"/>
        </w:rPr>
      </w:pPr>
      <w:r>
        <w:rPr>
          <w:rFonts w:ascii="Arial" w:hAnsi="Arial" w:cs="Arial"/>
          <w:sz w:val="20"/>
          <w:szCs w:val="20"/>
          <w:lang w:eastAsia="en-US"/>
        </w:rPr>
        <w:t>Le délai d’exécution global des travaux de chaque lot est de 17 mois et bien précisé dans le planning prévisionnel présent dans les pièces écrites.</w:t>
      </w:r>
    </w:p>
    <w:p w14:paraId="22185C96" w14:textId="77777777" w:rsidR="00FE1DF0" w:rsidRDefault="00E1399F">
      <w:pPr>
        <w:pStyle w:val="Standard"/>
        <w:spacing w:before="228" w:after="0"/>
        <w:ind w:left="141" w:right="748"/>
        <w:jc w:val="both"/>
        <w:rPr>
          <w:rFonts w:hint="eastAsia"/>
        </w:rPr>
      </w:pPr>
      <w:r>
        <w:rPr>
          <w:rFonts w:ascii="Arial" w:hAnsi="Arial" w:cs="Arial"/>
          <w:sz w:val="20"/>
          <w:szCs w:val="20"/>
          <w:lang w:eastAsia="en-US"/>
        </w:rPr>
        <w:t>Cela s’applique à tous les lots.</w:t>
      </w:r>
    </w:p>
    <w:p w14:paraId="1BA4A2AA" w14:textId="77777777" w:rsidR="00FE1DF0" w:rsidRDefault="00FE1DF0">
      <w:pPr>
        <w:pStyle w:val="Standard"/>
        <w:rPr>
          <w:rFonts w:hint="eastAsia"/>
        </w:rPr>
      </w:pPr>
    </w:p>
    <w:p w14:paraId="160101C4" w14:textId="77777777" w:rsidR="00FE1DF0" w:rsidRDefault="00FE1DF0">
      <w:pPr>
        <w:pStyle w:val="Standard"/>
        <w:rPr>
          <w:rFonts w:hint="eastAsia"/>
        </w:rPr>
      </w:pPr>
    </w:p>
    <w:p w14:paraId="3FAD83E9" w14:textId="77777777" w:rsidR="00FE1DF0" w:rsidRDefault="00E1399F">
      <w:pPr>
        <w:pStyle w:val="Standard"/>
        <w:numPr>
          <w:ilvl w:val="0"/>
          <w:numId w:val="10"/>
        </w:numPr>
        <w:tabs>
          <w:tab w:val="left" w:pos="356"/>
          <w:tab w:val="left" w:pos="392"/>
        </w:tabs>
        <w:jc w:val="both"/>
        <w:rPr>
          <w:rFonts w:hint="eastAsia"/>
          <w:shd w:val="clear" w:color="auto" w:fill="FFFFFF"/>
        </w:rPr>
      </w:pPr>
      <w:r>
        <w:rPr>
          <w:rFonts w:ascii="Arial" w:hAnsi="Arial" w:cs="Arial"/>
          <w:b/>
          <w:bCs/>
          <w:sz w:val="20"/>
          <w:szCs w:val="20"/>
          <w:shd w:val="clear" w:color="auto" w:fill="FFFFFF"/>
          <w:lang w:eastAsia="en-US"/>
        </w:rPr>
        <w:t>Période de préparation :</w:t>
      </w:r>
    </w:p>
    <w:p w14:paraId="7EAA54F6" w14:textId="77777777" w:rsidR="00FE1DF0" w:rsidRDefault="00E1399F">
      <w:pPr>
        <w:pStyle w:val="Standard"/>
        <w:jc w:val="both"/>
        <w:rPr>
          <w:rFonts w:hint="eastAsia"/>
          <w:shd w:val="clear" w:color="auto" w:fill="FFFFFF"/>
        </w:rPr>
      </w:pPr>
      <w:r>
        <w:rPr>
          <w:rFonts w:ascii="Arial" w:hAnsi="Arial" w:cs="Arial"/>
          <w:sz w:val="20"/>
          <w:szCs w:val="20"/>
          <w:shd w:val="clear" w:color="auto" w:fill="FFFFFF"/>
          <w:lang w:eastAsia="en-US"/>
        </w:rPr>
        <w:t>La période de préparation est de 39 jours ouvrés pour tous les lots. Sauf pour le lot 13 : 14 jours ouvrés</w:t>
      </w:r>
    </w:p>
    <w:p w14:paraId="678A60F8" w14:textId="77777777" w:rsidR="00FE1DF0" w:rsidRDefault="00E1399F">
      <w:pPr>
        <w:pStyle w:val="Standard"/>
        <w:jc w:val="both"/>
        <w:rPr>
          <w:rFonts w:hint="eastAsia"/>
          <w:shd w:val="clear" w:color="auto" w:fill="FFFFFF"/>
        </w:rPr>
      </w:pPr>
      <w:r>
        <w:rPr>
          <w:rFonts w:ascii="Arial" w:hAnsi="Arial" w:cs="Arial"/>
          <w:sz w:val="20"/>
          <w:szCs w:val="20"/>
          <w:shd w:val="clear" w:color="auto" w:fill="FFFFFF"/>
          <w:lang w:eastAsia="en-US"/>
        </w:rPr>
        <w:t>Par application à l’article 18.1.1 du CCAG Travaux la période de préparation est comprise dans le délai d'exécution du marché.</w:t>
      </w:r>
    </w:p>
    <w:p w14:paraId="42B6F0D2" w14:textId="77777777" w:rsidR="00FE1DF0" w:rsidRDefault="00E1399F">
      <w:pPr>
        <w:pStyle w:val="Standard"/>
        <w:jc w:val="both"/>
        <w:rPr>
          <w:rFonts w:hint="eastAsia"/>
          <w:shd w:val="clear" w:color="auto" w:fill="FFFFFF"/>
        </w:rPr>
      </w:pPr>
      <w:r>
        <w:rPr>
          <w:rFonts w:ascii="Arial" w:hAnsi="Arial" w:cs="Arial"/>
          <w:sz w:val="20"/>
          <w:szCs w:val="20"/>
          <w:shd w:val="clear" w:color="auto" w:fill="FFFFFF"/>
          <w:lang w:eastAsia="en-US"/>
        </w:rPr>
        <w:t>La période de préparation démarre à la date fixée à l'ordre de service qui prescrit de la commencer.</w:t>
      </w:r>
    </w:p>
    <w:p w14:paraId="7F418340" w14:textId="77777777" w:rsidR="00FE1DF0" w:rsidRDefault="00FE1DF0">
      <w:pPr>
        <w:pStyle w:val="Standard"/>
        <w:jc w:val="both"/>
        <w:rPr>
          <w:rFonts w:ascii="Arial" w:hAnsi="Arial" w:cs="Arial"/>
          <w:sz w:val="20"/>
          <w:szCs w:val="20"/>
          <w:lang w:eastAsia="en-US"/>
        </w:rPr>
      </w:pPr>
    </w:p>
    <w:p w14:paraId="0F551BB9"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rPr>
      </w:pPr>
      <w:r>
        <w:rPr>
          <w:rFonts w:ascii="Arial" w:hAnsi="Arial" w:cs="Arial"/>
          <w:b/>
          <w:bCs/>
          <w:color w:val="000000"/>
          <w:sz w:val="20"/>
          <w:szCs w:val="20"/>
        </w:rPr>
        <w:lastRenderedPageBreak/>
        <w:t>Allotissement et structure de la consultation :</w:t>
      </w:r>
    </w:p>
    <w:p w14:paraId="4F154A38" w14:textId="77777777" w:rsidR="00FE1DF0" w:rsidRDefault="00FE1DF0">
      <w:pPr>
        <w:pStyle w:val="Standard"/>
        <w:widowControl w:val="0"/>
        <w:tabs>
          <w:tab w:val="left" w:pos="509"/>
        </w:tabs>
        <w:spacing w:after="0" w:line="240" w:lineRule="auto"/>
        <w:ind w:left="117" w:right="111"/>
        <w:jc w:val="both"/>
        <w:rPr>
          <w:rFonts w:ascii="Arial" w:hAnsi="Arial" w:cs="Arial"/>
          <w:color w:val="000000"/>
          <w:sz w:val="12"/>
          <w:szCs w:val="12"/>
        </w:rPr>
      </w:pPr>
    </w:p>
    <w:p w14:paraId="7ECD2127"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La consultation est décomposée en 14 lots :</w:t>
      </w:r>
    </w:p>
    <w:p w14:paraId="1E7DDB11"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rPr>
      </w:pPr>
    </w:p>
    <w:tbl>
      <w:tblPr>
        <w:tblW w:w="9610" w:type="dxa"/>
        <w:tblInd w:w="19" w:type="dxa"/>
        <w:tblLayout w:type="fixed"/>
        <w:tblCellMar>
          <w:left w:w="0" w:type="dxa"/>
          <w:right w:w="0" w:type="dxa"/>
        </w:tblCellMar>
        <w:tblLook w:val="0000" w:firstRow="0" w:lastRow="0" w:firstColumn="0" w:lastColumn="0" w:noHBand="0" w:noVBand="0"/>
      </w:tblPr>
      <w:tblGrid>
        <w:gridCol w:w="1278"/>
        <w:gridCol w:w="3821"/>
        <w:gridCol w:w="4511"/>
      </w:tblGrid>
      <w:tr w:rsidR="00FE1DF0" w14:paraId="6454FA93" w14:textId="77777777">
        <w:trPr>
          <w:trHeight w:val="281"/>
          <w:tblHeader/>
        </w:trPr>
        <w:tc>
          <w:tcPr>
            <w:tcW w:w="1278"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D49E56E" w14:textId="77777777" w:rsidR="00FE1DF0" w:rsidRDefault="00E1399F">
            <w:pPr>
              <w:pStyle w:val="Standard"/>
              <w:keepLines/>
              <w:widowControl w:val="0"/>
              <w:spacing w:before="60" w:after="60" w:line="240" w:lineRule="auto"/>
              <w:ind w:left="108" w:right="97"/>
              <w:jc w:val="center"/>
              <w:rPr>
                <w:rFonts w:hint="eastAsia"/>
              </w:rPr>
            </w:pPr>
            <w:r>
              <w:rPr>
                <w:rFonts w:ascii="Arial" w:hAnsi="Arial" w:cs="Arial"/>
                <w:color w:val="FFFFFF"/>
                <w:sz w:val="20"/>
                <w:szCs w:val="20"/>
              </w:rPr>
              <w:t>N° de lot</w:t>
            </w:r>
          </w:p>
        </w:tc>
        <w:tc>
          <w:tcPr>
            <w:tcW w:w="382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6F38706" w14:textId="77777777" w:rsidR="00FE1DF0" w:rsidRDefault="00E1399F">
            <w:pPr>
              <w:pStyle w:val="Standard"/>
              <w:keepLines/>
              <w:widowControl w:val="0"/>
              <w:spacing w:before="60" w:after="60" w:line="240" w:lineRule="auto"/>
              <w:ind w:left="119" w:right="81"/>
              <w:jc w:val="center"/>
              <w:rPr>
                <w:rFonts w:hint="eastAsia"/>
              </w:rPr>
            </w:pPr>
            <w:r>
              <w:rPr>
                <w:rFonts w:ascii="Arial" w:hAnsi="Arial" w:cs="Arial"/>
                <w:color w:val="FFFFFF"/>
                <w:sz w:val="20"/>
                <w:szCs w:val="20"/>
              </w:rPr>
              <w:t>Objet</w:t>
            </w:r>
          </w:p>
        </w:tc>
        <w:tc>
          <w:tcPr>
            <w:tcW w:w="451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78FD7C1" w14:textId="77777777" w:rsidR="00FE1DF0" w:rsidRDefault="00E1399F">
            <w:pPr>
              <w:pStyle w:val="Standard"/>
              <w:keepLines/>
              <w:widowControl w:val="0"/>
              <w:spacing w:before="60" w:after="60" w:line="240" w:lineRule="auto"/>
              <w:ind w:left="119" w:right="81"/>
              <w:jc w:val="center"/>
              <w:rPr>
                <w:rFonts w:hint="eastAsia"/>
              </w:rPr>
            </w:pPr>
            <w:r>
              <w:rPr>
                <w:rFonts w:ascii="Arial" w:hAnsi="Arial" w:cs="Arial"/>
                <w:color w:val="FFFFFF"/>
                <w:sz w:val="20"/>
                <w:szCs w:val="20"/>
              </w:rPr>
              <w:t>Fourchette d’estimation (valeur MAI 2026)</w:t>
            </w:r>
          </w:p>
        </w:tc>
      </w:tr>
      <w:tr w:rsidR="00FE1DF0" w14:paraId="2E39A045" w14:textId="77777777">
        <w:trPr>
          <w:trHeight w:val="1064"/>
        </w:trPr>
        <w:tc>
          <w:tcPr>
            <w:tcW w:w="12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B1DD629"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n°1</w:t>
            </w:r>
          </w:p>
        </w:tc>
        <w:tc>
          <w:tcPr>
            <w:tcW w:w="3821"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32ADA6EE"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GROS ŒUVRE</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AE9CF9A" w14:textId="77777777" w:rsidR="00FE1DF0" w:rsidRDefault="00E1399F">
            <w:pPr>
              <w:pStyle w:val="Standard"/>
              <w:widowControl w:val="0"/>
              <w:spacing w:before="60" w:after="60" w:line="240" w:lineRule="auto"/>
              <w:ind w:right="89"/>
              <w:jc w:val="center"/>
              <w:rPr>
                <w:rFonts w:hint="eastAsia"/>
              </w:rPr>
            </w:pPr>
            <w:r>
              <w:rPr>
                <w:rFonts w:ascii="Arial" w:hAnsi="Arial" w:cs="Arial"/>
                <w:color w:val="000000"/>
                <w:sz w:val="20"/>
                <w:szCs w:val="20"/>
              </w:rPr>
              <w:t>Entre 178 636.50 € HT et</w:t>
            </w:r>
          </w:p>
          <w:p w14:paraId="06CE2A4E" w14:textId="77777777" w:rsidR="00FE1DF0" w:rsidRDefault="00E1399F">
            <w:pPr>
              <w:pStyle w:val="Standard"/>
              <w:jc w:val="center"/>
              <w:rPr>
                <w:rFonts w:hint="eastAsia"/>
              </w:rPr>
            </w:pPr>
            <w:r>
              <w:rPr>
                <w:rFonts w:ascii="Arial" w:hAnsi="Arial" w:cs="Arial"/>
                <w:color w:val="000000"/>
                <w:sz w:val="20"/>
                <w:szCs w:val="20"/>
              </w:rPr>
              <w:t>198 485.00 € HT, soit entre 214 363.80 € TTC et 238 182.00 € TTC sur la durée du marché</w:t>
            </w:r>
          </w:p>
        </w:tc>
      </w:tr>
      <w:tr w:rsidR="00FE1DF0" w14:paraId="469FFC13"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3C637CD"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 xml:space="preserve">Lot n°2  </w:t>
            </w:r>
          </w:p>
        </w:tc>
        <w:tc>
          <w:tcPr>
            <w:tcW w:w="3821"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1657B148"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OSSATURE ET CHARPENTE BOIS</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D38C9BC"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Entre 164 556.00 € HT et € 182 840.00 HT, soit entre 197 467.20 € TTC et 219 408.00 € TTC sur la durée du marché</w:t>
            </w:r>
          </w:p>
        </w:tc>
      </w:tr>
      <w:tr w:rsidR="00FE1DF0" w14:paraId="67A5E895"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2964963"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n°3</w:t>
            </w:r>
          </w:p>
        </w:tc>
        <w:tc>
          <w:tcPr>
            <w:tcW w:w="3821"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5A89FE54"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COUVERTURE – ÉTANCHÉITÉ</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AEED287"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Entre 67 903.20 € HT et</w:t>
            </w:r>
          </w:p>
          <w:p w14:paraId="370F791C" w14:textId="77777777" w:rsidR="00FE1DF0" w:rsidRDefault="00E1399F">
            <w:pPr>
              <w:pStyle w:val="Standard"/>
              <w:jc w:val="center"/>
              <w:rPr>
                <w:rFonts w:hint="eastAsia"/>
              </w:rPr>
            </w:pPr>
            <w:r>
              <w:rPr>
                <w:rFonts w:ascii="Arial" w:hAnsi="Arial" w:cs="Arial"/>
                <w:color w:val="000000"/>
                <w:sz w:val="20"/>
                <w:szCs w:val="20"/>
              </w:rPr>
              <w:t>75 448.00 € HT, soit entre 81 483.84 € TTC et  90 537.60 € TTC</w:t>
            </w:r>
          </w:p>
        </w:tc>
      </w:tr>
      <w:tr w:rsidR="00FE1DF0" w14:paraId="025114DC"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2D88BEC"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n°4</w:t>
            </w:r>
          </w:p>
        </w:tc>
        <w:tc>
          <w:tcPr>
            <w:tcW w:w="3821"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287CB6E0"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BARDAGES ET TRAITEMENT DE FAÇADES</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380768E" w14:textId="77777777" w:rsidR="00FE1DF0" w:rsidRDefault="00E1399F">
            <w:pPr>
              <w:pStyle w:val="Standard"/>
              <w:jc w:val="center"/>
              <w:rPr>
                <w:rFonts w:hint="eastAsia"/>
              </w:rPr>
            </w:pPr>
            <w:r>
              <w:rPr>
                <w:rFonts w:ascii="Arial" w:hAnsi="Arial" w:cs="Arial"/>
                <w:color w:val="000000"/>
                <w:sz w:val="20"/>
                <w:szCs w:val="20"/>
              </w:rPr>
              <w:t>Entre 51 390.00 € HT et 57 100.00 € HT, soit entre 61 668.00 € TTC et 68 520.00 € TTC sur la durée du marché</w:t>
            </w:r>
          </w:p>
        </w:tc>
      </w:tr>
      <w:tr w:rsidR="00FE1DF0" w14:paraId="627CC584"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B99E547"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n°5</w:t>
            </w:r>
          </w:p>
        </w:tc>
        <w:tc>
          <w:tcPr>
            <w:tcW w:w="3821"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59FDDF30"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MENUISERIES EXTÉRIEURES ET SERRURERIE</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B6811B8"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 xml:space="preserve"> </w:t>
            </w:r>
            <w:r>
              <w:rPr>
                <w:rFonts w:ascii="Arial" w:hAnsi="Arial" w:cs="Arial"/>
                <w:color w:val="000000"/>
                <w:sz w:val="20"/>
                <w:szCs w:val="20"/>
              </w:rPr>
              <w:t>Entre 73 740.60 € HT et 81 934.00 € HT, soit entre 88 488.72 € TTC et 98 320.80 € TTC sur la durée du marché</w:t>
            </w:r>
          </w:p>
        </w:tc>
      </w:tr>
      <w:tr w:rsidR="00FE1DF0" w14:paraId="44CF566E"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7B23497"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n°6</w:t>
            </w:r>
          </w:p>
        </w:tc>
        <w:tc>
          <w:tcPr>
            <w:tcW w:w="3821"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3A986451"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PLÂTRERIE – FAUX PLAFONDS</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34D3AA4"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Entre 90 994.50 € HT et 101 105.00 HT, soit entre 109 193.40 € TTC et 121 326.00 € TTC</w:t>
            </w:r>
          </w:p>
        </w:tc>
      </w:tr>
      <w:tr w:rsidR="00FE1DF0" w14:paraId="09A42FA6"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133A449"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n°7</w:t>
            </w:r>
          </w:p>
        </w:tc>
        <w:tc>
          <w:tcPr>
            <w:tcW w:w="3821"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15326BB3"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MENUISERIES INTÉRIEURES</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A5A6A13"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Entre  39 118.50 € HT et 43 465.00 € HT, soit entre 46 942.20 € TTC et 52 158.00 € TTC</w:t>
            </w:r>
          </w:p>
        </w:tc>
      </w:tr>
      <w:tr w:rsidR="00FE1DF0" w14:paraId="14A57A99"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AC4B77C"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n°8</w:t>
            </w:r>
          </w:p>
        </w:tc>
        <w:tc>
          <w:tcPr>
            <w:tcW w:w="3821"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67C01B7C"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CARRELAGES – FAÏENCES</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FEB6599"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Entre 9 010.80 € HT et 10 012.00 € HT, soit entre 10 812.96 € TTC et 12 014.40 € TTC sur la durée du marché</w:t>
            </w:r>
          </w:p>
        </w:tc>
      </w:tr>
      <w:tr w:rsidR="00FE1DF0" w14:paraId="32977892"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B5CF528"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n°9</w:t>
            </w:r>
          </w:p>
        </w:tc>
        <w:tc>
          <w:tcPr>
            <w:tcW w:w="3821"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2835D480"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REVÊTEMENTS SOLS SOUPLES</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4260B97"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 xml:space="preserve"> </w:t>
            </w:r>
            <w:r>
              <w:rPr>
                <w:rFonts w:ascii="Arial" w:hAnsi="Arial" w:cs="Arial"/>
                <w:color w:val="000000"/>
                <w:sz w:val="20"/>
                <w:szCs w:val="20"/>
              </w:rPr>
              <w:t>Entre 17 885.70 € HT et 19 873.00 € HT, soit entre 21 462.84 € TTC et 23 847.60 € TTC sur la durée du marché</w:t>
            </w:r>
          </w:p>
        </w:tc>
      </w:tr>
      <w:tr w:rsidR="00FE1DF0" w14:paraId="3BCE683A"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7F95546"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n°10</w:t>
            </w:r>
          </w:p>
        </w:tc>
        <w:tc>
          <w:tcPr>
            <w:tcW w:w="3821"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33494F46"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PEINTURES – SIGNALÉTIQUE</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E72F930"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Entre 21 754.80 € HT et 24 172.00 € HT, soit entre 26 105.76 € TTC et 29 006.40 € TTC sur la durée du marché</w:t>
            </w:r>
          </w:p>
        </w:tc>
      </w:tr>
      <w:tr w:rsidR="00FE1DF0" w14:paraId="0E398C38"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8813EFA"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n°11</w:t>
            </w:r>
          </w:p>
        </w:tc>
        <w:tc>
          <w:tcPr>
            <w:tcW w:w="3821"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1159E8B8"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CHAUFFAGE – VENTILATION – PLOMBERIE</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141A3E6"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 xml:space="preserve">  </w:t>
            </w:r>
            <w:r>
              <w:rPr>
                <w:rFonts w:ascii="Arial" w:hAnsi="Arial" w:cs="Arial"/>
                <w:color w:val="000000"/>
                <w:sz w:val="20"/>
                <w:szCs w:val="20"/>
              </w:rPr>
              <w:t>Entre 117 514.80 € HT et 130 572.00 € HT, soit entre 141 017.76 € TTC et 156 686.40 € TTC sur la durée du marché</w:t>
            </w:r>
          </w:p>
        </w:tc>
      </w:tr>
      <w:tr w:rsidR="00FE1DF0" w14:paraId="6C5833F9"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tcPr>
          <w:p w14:paraId="50C4F5C4"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n°12</w:t>
            </w:r>
          </w:p>
        </w:tc>
        <w:tc>
          <w:tcPr>
            <w:tcW w:w="3821"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2F154D9A"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ÉLECTRICITÉ</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F4EC7EA"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Entre 119 776.50 € HT et 133 085.00 € HT, soit entre 143 731.80 € TTC et 159 702.00 € TTC sur la durée du marché</w:t>
            </w:r>
          </w:p>
        </w:tc>
      </w:tr>
      <w:tr w:rsidR="00FE1DF0" w14:paraId="165EF272"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tcPr>
          <w:p w14:paraId="0ECEBABE"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n°13</w:t>
            </w:r>
          </w:p>
        </w:tc>
        <w:tc>
          <w:tcPr>
            <w:tcW w:w="3821"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2BDEB210"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VRD – ESPACES VERTS</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961DBA5"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Tranche Ferme : Entre 209 064.60 € HT et 232 294.00 € HT, soit entre 250 877.52 € TTC et 278 752.80 € TTC sur la durée du marché</w:t>
            </w:r>
          </w:p>
          <w:p w14:paraId="5A33F586"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Tranche optionnelle : Entre 63 852.30 € HT et 70 947.00 € HT, soit entre 76 622.76 € TTC et 85 136.40 € TTC sur la durée du marché</w:t>
            </w:r>
          </w:p>
        </w:tc>
      </w:tr>
      <w:tr w:rsidR="00FE1DF0" w14:paraId="43D52CAC" w14:textId="77777777">
        <w:trPr>
          <w:trHeight w:val="422"/>
        </w:trPr>
        <w:tc>
          <w:tcPr>
            <w:tcW w:w="1278" w:type="dxa"/>
            <w:tcBorders>
              <w:top w:val="single" w:sz="8" w:space="0" w:color="D9D9D9"/>
              <w:left w:val="single" w:sz="8" w:space="0" w:color="D9D9D9"/>
              <w:bottom w:val="single" w:sz="8" w:space="0" w:color="D9D9D9"/>
              <w:right w:val="single" w:sz="8" w:space="0" w:color="D9D9D9"/>
            </w:tcBorders>
            <w:shd w:val="clear" w:color="auto" w:fill="FFFFFF"/>
          </w:tcPr>
          <w:p w14:paraId="5387ADF2"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Lot n°14</w:t>
            </w:r>
          </w:p>
        </w:tc>
        <w:tc>
          <w:tcPr>
            <w:tcW w:w="3821"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1728EF0A" w14:textId="77777777" w:rsidR="00FE1DF0" w:rsidRDefault="00E1399F">
            <w:pPr>
              <w:pStyle w:val="Standard"/>
              <w:widowControl w:val="0"/>
              <w:spacing w:before="60" w:after="60" w:line="240" w:lineRule="auto"/>
              <w:ind w:left="119" w:right="81"/>
              <w:rPr>
                <w:rFonts w:hint="eastAsia"/>
              </w:rPr>
            </w:pPr>
            <w:r>
              <w:rPr>
                <w:rFonts w:ascii="Arial" w:hAnsi="Arial" w:cs="Arial"/>
                <w:color w:val="000000"/>
                <w:sz w:val="20"/>
                <w:szCs w:val="20"/>
              </w:rPr>
              <w:t>DÉMOLITION – DÉSAMIANTAGE</w:t>
            </w:r>
          </w:p>
        </w:tc>
        <w:tc>
          <w:tcPr>
            <w:tcW w:w="451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867091C" w14:textId="77777777" w:rsidR="00FE1DF0" w:rsidRDefault="00E1399F">
            <w:pPr>
              <w:pStyle w:val="Standard"/>
              <w:widowControl w:val="0"/>
              <w:spacing w:before="60" w:after="60" w:line="240" w:lineRule="auto"/>
              <w:ind w:left="119" w:right="89"/>
              <w:jc w:val="center"/>
              <w:rPr>
                <w:rFonts w:hint="eastAsia"/>
              </w:rPr>
            </w:pPr>
            <w:r>
              <w:rPr>
                <w:rFonts w:ascii="Arial" w:hAnsi="Arial" w:cs="Arial"/>
                <w:color w:val="000000"/>
                <w:sz w:val="20"/>
                <w:szCs w:val="20"/>
              </w:rPr>
              <w:t>Entre 76 950.00 € HT et 85 500.00 € HT, soit entre 92 340.00 € TTC et 102 600.00 € TTC sur la durée du marché</w:t>
            </w:r>
            <w:bookmarkStart w:id="0" w:name="Bookmark"/>
            <w:bookmarkEnd w:id="0"/>
          </w:p>
        </w:tc>
      </w:tr>
    </w:tbl>
    <w:p w14:paraId="641F907C" w14:textId="77777777" w:rsidR="00FE1DF0" w:rsidRDefault="00FE1DF0">
      <w:pPr>
        <w:pStyle w:val="Standard"/>
        <w:widowControl w:val="0"/>
        <w:tabs>
          <w:tab w:val="left" w:pos="392"/>
        </w:tabs>
        <w:spacing w:after="0" w:line="240" w:lineRule="auto"/>
        <w:ind w:right="111"/>
        <w:jc w:val="both"/>
        <w:rPr>
          <w:rFonts w:ascii="Arial" w:hAnsi="Arial" w:cs="Arial"/>
          <w:color w:val="000000"/>
          <w:sz w:val="20"/>
          <w:szCs w:val="20"/>
        </w:rPr>
      </w:pPr>
    </w:p>
    <w:p w14:paraId="29F6C242" w14:textId="77777777" w:rsidR="00FE1DF0" w:rsidRDefault="00FE1DF0">
      <w:pPr>
        <w:pStyle w:val="Standard"/>
        <w:widowControl w:val="0"/>
        <w:tabs>
          <w:tab w:val="left" w:pos="392"/>
        </w:tabs>
        <w:spacing w:after="0" w:line="240" w:lineRule="auto"/>
        <w:ind w:right="111"/>
        <w:jc w:val="both"/>
        <w:rPr>
          <w:rFonts w:ascii="Arial" w:hAnsi="Arial" w:cs="Arial"/>
          <w:color w:val="000000"/>
          <w:sz w:val="20"/>
          <w:szCs w:val="20"/>
        </w:rPr>
      </w:pPr>
    </w:p>
    <w:p w14:paraId="7A873650" w14:textId="77777777" w:rsidR="00FE1DF0" w:rsidRDefault="00E1399F">
      <w:pPr>
        <w:pStyle w:val="Standard"/>
        <w:widowControl w:val="0"/>
        <w:tabs>
          <w:tab w:val="left" w:pos="392"/>
        </w:tabs>
        <w:spacing w:after="0" w:line="240" w:lineRule="auto"/>
        <w:ind w:right="111"/>
        <w:jc w:val="both"/>
        <w:rPr>
          <w:rFonts w:hint="eastAsia"/>
        </w:rPr>
      </w:pPr>
      <w:r>
        <w:rPr>
          <w:rFonts w:ascii="Arial" w:hAnsi="Arial" w:cs="Arial"/>
          <w:b/>
          <w:bCs/>
          <w:color w:val="000000"/>
          <w:sz w:val="20"/>
          <w:szCs w:val="20"/>
          <w:u w:val="single"/>
        </w:rPr>
        <w:t>Estimation de l’ensembl</w:t>
      </w:r>
      <w:r>
        <w:rPr>
          <w:rFonts w:ascii="Arial" w:hAnsi="Arial" w:cs="Arial"/>
          <w:b/>
          <w:bCs/>
          <w:color w:val="000000"/>
          <w:sz w:val="20"/>
          <w:szCs w:val="20"/>
          <w:u w:val="single"/>
        </w:rPr>
        <w:t>e des lots</w:t>
      </w:r>
      <w:r>
        <w:rPr>
          <w:rFonts w:ascii="Arial" w:hAnsi="Arial" w:cs="Arial"/>
          <w:b/>
          <w:bCs/>
          <w:color w:val="000000"/>
          <w:sz w:val="20"/>
          <w:szCs w:val="20"/>
        </w:rPr>
        <w:t> :</w:t>
      </w:r>
    </w:p>
    <w:p w14:paraId="303BA12F" w14:textId="12018E89" w:rsidR="00FE1DF0" w:rsidRDefault="00E1399F">
      <w:pPr>
        <w:pStyle w:val="Standard"/>
        <w:jc w:val="both"/>
        <w:rPr>
          <w:rFonts w:hint="eastAsia"/>
        </w:rPr>
      </w:pPr>
      <w:r>
        <w:rPr>
          <w:rFonts w:ascii="Arial" w:hAnsi="Arial" w:cs="Arial"/>
          <w:color w:val="000000"/>
          <w:sz w:val="20"/>
          <w:szCs w:val="20"/>
        </w:rPr>
        <w:lastRenderedPageBreak/>
        <w:t xml:space="preserve">Entre 1 302 148.80 € HT et 1 446 832.00 € </w:t>
      </w:r>
      <w:r>
        <w:rPr>
          <w:rFonts w:ascii="Arial" w:hAnsi="Arial" w:cs="Arial"/>
          <w:color w:val="000000"/>
          <w:sz w:val="20"/>
          <w:szCs w:val="20"/>
        </w:rPr>
        <w:t xml:space="preserve">HT, soit entre 1 562 57€ TTC et </w:t>
      </w:r>
      <w:r w:rsidR="008A0798">
        <w:rPr>
          <w:rFonts w:ascii="Arial" w:hAnsi="Arial" w:cs="Arial"/>
          <w:color w:val="000000"/>
          <w:sz w:val="20"/>
          <w:szCs w:val="20"/>
        </w:rPr>
        <w:t xml:space="preserve">1 736 198.40 </w:t>
      </w:r>
      <w:r>
        <w:rPr>
          <w:rFonts w:ascii="Arial" w:hAnsi="Arial" w:cs="Arial"/>
          <w:color w:val="000000"/>
          <w:sz w:val="20"/>
          <w:szCs w:val="20"/>
        </w:rPr>
        <w:t>€ TTC</w:t>
      </w:r>
    </w:p>
    <w:p w14:paraId="7AA3674E" w14:textId="77777777" w:rsidR="00FE1DF0" w:rsidRDefault="00E1399F">
      <w:pPr>
        <w:pStyle w:val="Standard"/>
        <w:keepNext/>
        <w:keepLines/>
        <w:widowControl w:val="0"/>
        <w:numPr>
          <w:ilvl w:val="0"/>
          <w:numId w:val="10"/>
        </w:numPr>
        <w:tabs>
          <w:tab w:val="left" w:pos="392"/>
          <w:tab w:val="left" w:pos="828"/>
        </w:tabs>
        <w:spacing w:after="0" w:line="240" w:lineRule="auto"/>
        <w:jc w:val="both"/>
        <w:rPr>
          <w:rFonts w:hint="eastAsia"/>
        </w:rPr>
      </w:pPr>
      <w:r>
        <w:rPr>
          <w:rFonts w:ascii="Arial" w:hAnsi="Arial" w:cs="Arial"/>
          <w:b/>
          <w:bCs/>
          <w:color w:val="000000"/>
          <w:sz w:val="20"/>
          <w:szCs w:val="20"/>
        </w:rPr>
        <w:t>Visite non obligatoire :</w:t>
      </w:r>
    </w:p>
    <w:p w14:paraId="69BF165E" w14:textId="77777777" w:rsidR="00FE1DF0" w:rsidRDefault="00FE1DF0">
      <w:pPr>
        <w:pStyle w:val="Standard"/>
        <w:keepNext/>
        <w:keepLines/>
        <w:widowControl w:val="0"/>
        <w:tabs>
          <w:tab w:val="left" w:pos="828"/>
        </w:tabs>
        <w:spacing w:after="0" w:line="240" w:lineRule="auto"/>
        <w:jc w:val="both"/>
        <w:rPr>
          <w:rFonts w:ascii="Arial" w:hAnsi="Arial" w:cs="Arial"/>
          <w:b/>
          <w:bCs/>
          <w:color w:val="000000"/>
          <w:sz w:val="20"/>
          <w:szCs w:val="20"/>
        </w:rPr>
      </w:pPr>
    </w:p>
    <w:p w14:paraId="62C9F7E0" w14:textId="77777777" w:rsidR="00FE1DF0" w:rsidRDefault="00E1399F">
      <w:pPr>
        <w:pStyle w:val="Standard"/>
        <w:keepNext/>
        <w:keepLines/>
        <w:widowControl w:val="0"/>
        <w:shd w:val="clear" w:color="auto" w:fill="FFFFFF"/>
        <w:tabs>
          <w:tab w:val="left" w:pos="828"/>
        </w:tabs>
        <w:spacing w:after="0" w:line="240" w:lineRule="auto"/>
        <w:jc w:val="both"/>
        <w:rPr>
          <w:rFonts w:hint="eastAsia"/>
        </w:rPr>
      </w:pPr>
      <w:r>
        <w:rPr>
          <w:rFonts w:ascii="Arial" w:hAnsi="Arial" w:cs="Arial"/>
          <w:sz w:val="20"/>
          <w:szCs w:val="20"/>
        </w:rPr>
        <w:t>Il est conseillé aux candidats d'effectuer une visite individuelle des lieux d'exécution avant la remise de leur offre. Les visites ne sont pas obligatoires et ne conditionnent pas la recevabilité de la candidature. Il ne sera pas fourni d'attestation de visite.</w:t>
      </w:r>
    </w:p>
    <w:p w14:paraId="79374382" w14:textId="77777777" w:rsidR="00FE1DF0" w:rsidRDefault="00E1399F">
      <w:pPr>
        <w:pStyle w:val="Standard"/>
        <w:keepNext/>
        <w:keepLines/>
        <w:widowControl w:val="0"/>
        <w:shd w:val="clear" w:color="auto" w:fill="FFFFFF"/>
        <w:tabs>
          <w:tab w:val="left" w:pos="828"/>
        </w:tabs>
        <w:spacing w:after="0" w:line="240" w:lineRule="auto"/>
        <w:jc w:val="both"/>
        <w:rPr>
          <w:rFonts w:hint="eastAsia"/>
          <w:shd w:val="clear" w:color="auto" w:fill="FFFFFF"/>
        </w:rPr>
      </w:pPr>
      <w:r>
        <w:rPr>
          <w:rFonts w:ascii="Arial" w:hAnsi="Arial" w:cs="Arial"/>
          <w:sz w:val="20"/>
          <w:szCs w:val="20"/>
          <w:shd w:val="clear" w:color="auto" w:fill="FFFFFF"/>
        </w:rPr>
        <w:t>Créneaux de visite disponibles :</w:t>
      </w:r>
    </w:p>
    <w:p w14:paraId="5825CB16" w14:textId="77777777" w:rsidR="00FE1DF0" w:rsidRDefault="00E1399F">
      <w:pPr>
        <w:pStyle w:val="Standard"/>
        <w:keepNext/>
        <w:keepLines/>
        <w:widowControl w:val="0"/>
        <w:numPr>
          <w:ilvl w:val="0"/>
          <w:numId w:val="11"/>
        </w:numPr>
        <w:shd w:val="clear" w:color="auto" w:fill="FFFFFF"/>
        <w:tabs>
          <w:tab w:val="left" w:pos="828"/>
        </w:tabs>
        <w:spacing w:after="0" w:line="240" w:lineRule="auto"/>
        <w:jc w:val="both"/>
        <w:rPr>
          <w:rFonts w:hint="eastAsia"/>
          <w:shd w:val="clear" w:color="auto" w:fill="FFFFFF"/>
        </w:rPr>
      </w:pPr>
      <w:r>
        <w:rPr>
          <w:rFonts w:ascii="Arial" w:hAnsi="Arial" w:cs="Arial"/>
          <w:sz w:val="20"/>
          <w:szCs w:val="20"/>
          <w:shd w:val="clear" w:color="auto" w:fill="FFFFFF"/>
        </w:rPr>
        <w:t>Mercredi 03 juin de 14h00 à 15h00</w:t>
      </w:r>
    </w:p>
    <w:p w14:paraId="3CECE462" w14:textId="77777777" w:rsidR="00FE1DF0" w:rsidRDefault="00E1399F">
      <w:pPr>
        <w:pStyle w:val="Standard"/>
        <w:keepNext/>
        <w:keepLines/>
        <w:widowControl w:val="0"/>
        <w:numPr>
          <w:ilvl w:val="0"/>
          <w:numId w:val="11"/>
        </w:numPr>
        <w:shd w:val="clear" w:color="auto" w:fill="FFFFFF"/>
        <w:tabs>
          <w:tab w:val="left" w:pos="828"/>
        </w:tabs>
        <w:spacing w:after="0" w:line="240" w:lineRule="auto"/>
        <w:jc w:val="both"/>
        <w:rPr>
          <w:rFonts w:hint="eastAsia"/>
          <w:shd w:val="clear" w:color="auto" w:fill="FFFFFF"/>
        </w:rPr>
      </w:pPr>
      <w:r>
        <w:rPr>
          <w:rFonts w:ascii="Arial" w:hAnsi="Arial" w:cs="Arial"/>
          <w:sz w:val="20"/>
          <w:szCs w:val="20"/>
          <w:shd w:val="clear" w:color="auto" w:fill="FFFFFF"/>
        </w:rPr>
        <w:t>Mercredi 10 juin de 14h00 à 15h00</w:t>
      </w:r>
    </w:p>
    <w:p w14:paraId="670251D3" w14:textId="77777777" w:rsidR="00FE1DF0" w:rsidRDefault="00E1399F">
      <w:pPr>
        <w:pStyle w:val="Standard"/>
        <w:keepNext/>
        <w:keepLines/>
        <w:widowControl w:val="0"/>
        <w:shd w:val="clear" w:color="auto" w:fill="FFFFFF"/>
        <w:tabs>
          <w:tab w:val="left" w:pos="828"/>
        </w:tabs>
        <w:spacing w:after="0" w:line="240" w:lineRule="auto"/>
        <w:jc w:val="both"/>
        <w:rPr>
          <w:rFonts w:hint="eastAsia"/>
          <w:shd w:val="clear" w:color="auto" w:fill="FFFFFF"/>
        </w:rPr>
      </w:pPr>
      <w:r>
        <w:rPr>
          <w:rFonts w:ascii="Arial" w:hAnsi="Arial" w:cs="Arial"/>
          <w:sz w:val="20"/>
          <w:szCs w:val="20"/>
          <w:shd w:val="clear" w:color="auto" w:fill="FFFFFF"/>
        </w:rPr>
        <w:t>Pour toute visite, prendre rendez-vous auprès de la mairie de Vred par téléphone (03.27.90.51.33) ou email (secretariatgeneral@vred.fr). La visite est assurée par un agent technique. Aucune question ne sera traitée oralement pendant la visite. Toutes les questions doivent être transmises via la plateforme dématérialisée. Aucune indemnité ni frais de déplacement n'est prévu.</w:t>
      </w:r>
    </w:p>
    <w:p w14:paraId="5F09FDC4" w14:textId="77777777" w:rsidR="00FE1DF0" w:rsidRDefault="00FE1DF0">
      <w:pPr>
        <w:pStyle w:val="Standard"/>
        <w:keepNext/>
        <w:keepLines/>
        <w:widowControl w:val="0"/>
        <w:tabs>
          <w:tab w:val="left" w:pos="828"/>
        </w:tabs>
        <w:spacing w:after="0" w:line="240" w:lineRule="auto"/>
        <w:jc w:val="both"/>
        <w:rPr>
          <w:rFonts w:ascii="Arial" w:hAnsi="Arial" w:cs="Arial"/>
          <w:shd w:val="clear" w:color="auto" w:fill="FFFFFF"/>
        </w:rPr>
      </w:pPr>
    </w:p>
    <w:p w14:paraId="1D593A8C"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shd w:val="clear" w:color="auto" w:fill="FFFFFF"/>
        </w:rPr>
      </w:pPr>
      <w:r>
        <w:rPr>
          <w:rFonts w:ascii="Arial" w:hAnsi="Arial" w:cs="Arial"/>
          <w:b/>
          <w:bCs/>
          <w:color w:val="000000"/>
          <w:sz w:val="20"/>
          <w:szCs w:val="20"/>
          <w:shd w:val="clear" w:color="auto" w:fill="FFFFFF"/>
        </w:rPr>
        <w:t>Insertion :</w:t>
      </w:r>
    </w:p>
    <w:p w14:paraId="0327C762" w14:textId="77777777" w:rsidR="00FE1DF0" w:rsidRDefault="00FE1DF0">
      <w:pPr>
        <w:pStyle w:val="Standard"/>
        <w:widowControl w:val="0"/>
        <w:tabs>
          <w:tab w:val="left" w:pos="392"/>
        </w:tabs>
        <w:spacing w:after="0" w:line="240" w:lineRule="auto"/>
        <w:ind w:right="111"/>
        <w:jc w:val="both"/>
        <w:rPr>
          <w:rFonts w:ascii="Arial" w:hAnsi="Arial" w:cs="Arial"/>
          <w:shd w:val="clear" w:color="auto" w:fill="FFFFFF"/>
        </w:rPr>
      </w:pPr>
    </w:p>
    <w:p w14:paraId="2818A8C2" w14:textId="77777777" w:rsidR="00FE1DF0" w:rsidRDefault="00E1399F">
      <w:pPr>
        <w:pStyle w:val="Standard"/>
        <w:widowControl w:val="0"/>
        <w:spacing w:after="0" w:line="240" w:lineRule="auto"/>
        <w:ind w:right="255"/>
        <w:jc w:val="both"/>
        <w:rPr>
          <w:rFonts w:hint="eastAsia"/>
          <w:shd w:val="clear" w:color="auto" w:fill="FFFFFF"/>
        </w:rPr>
      </w:pPr>
      <w:r>
        <w:rPr>
          <w:rFonts w:ascii="Arial" w:hAnsi="Arial" w:cs="Arial"/>
          <w:color w:val="000000"/>
          <w:sz w:val="20"/>
          <w:szCs w:val="20"/>
          <w:shd w:val="clear" w:color="auto" w:fill="FFFFFF"/>
        </w:rPr>
        <w:t>Il</w:t>
      </w:r>
      <w:r>
        <w:rPr>
          <w:rFonts w:ascii="Arial" w:hAnsi="Arial" w:cs="Arial"/>
          <w:shd w:val="clear" w:color="auto" w:fill="FFFFFF"/>
        </w:rPr>
        <w:t xml:space="preserve"> </w:t>
      </w:r>
      <w:r>
        <w:rPr>
          <w:rFonts w:ascii="Arial" w:hAnsi="Arial" w:cs="Arial"/>
          <w:color w:val="000000"/>
          <w:sz w:val="20"/>
          <w:szCs w:val="20"/>
          <w:shd w:val="clear" w:color="auto" w:fill="FFFFFF"/>
        </w:rPr>
        <w:t>est prévu une clause d’insertion par l’activité économique (cf. article 6.3 du CCAP et annexe au CCAP).</w:t>
      </w:r>
    </w:p>
    <w:p w14:paraId="550EF01F" w14:textId="77777777" w:rsidR="00FE1DF0" w:rsidRDefault="00FE1DF0">
      <w:pPr>
        <w:pStyle w:val="Standard"/>
        <w:keepLines/>
        <w:widowControl w:val="0"/>
        <w:tabs>
          <w:tab w:val="left" w:pos="392"/>
        </w:tabs>
        <w:spacing w:after="0" w:line="240" w:lineRule="auto"/>
        <w:ind w:right="111"/>
        <w:jc w:val="both"/>
        <w:rPr>
          <w:rFonts w:ascii="Arial" w:hAnsi="Arial" w:cs="Arial"/>
          <w:color w:val="000000"/>
        </w:rPr>
      </w:pPr>
    </w:p>
    <w:p w14:paraId="391EB758" w14:textId="77777777" w:rsidR="00FE1DF0" w:rsidRDefault="00E1399F">
      <w:pPr>
        <w:pStyle w:val="Standard"/>
        <w:keepNext/>
        <w:keepLines/>
        <w:widowControl w:val="0"/>
        <w:numPr>
          <w:ilvl w:val="0"/>
          <w:numId w:val="18"/>
        </w:numPr>
        <w:tabs>
          <w:tab w:val="left" w:pos="465"/>
        </w:tabs>
        <w:spacing w:before="400" w:after="0" w:line="240" w:lineRule="auto"/>
        <w:jc w:val="both"/>
        <w:rPr>
          <w:rFonts w:hint="eastAsia"/>
        </w:rPr>
      </w:pPr>
      <w:r>
        <w:rPr>
          <w:rFonts w:ascii="Arial" w:hAnsi="Arial" w:cs="Arial"/>
          <w:b/>
          <w:bCs/>
          <w:color w:val="595959"/>
          <w:sz w:val="28"/>
          <w:szCs w:val="28"/>
        </w:rPr>
        <w:t>PRÉSENTATION DES PROPOSITIONS</w:t>
      </w:r>
    </w:p>
    <w:p w14:paraId="6A6C7BE4" w14:textId="77777777" w:rsidR="00FE1DF0" w:rsidRDefault="00FE1DF0">
      <w:pPr>
        <w:pStyle w:val="Standard"/>
        <w:keepNext/>
        <w:keepLines/>
        <w:widowControl w:val="0"/>
        <w:pBdr>
          <w:bottom w:val="single" w:sz="4" w:space="1" w:color="D9D9D9"/>
        </w:pBdr>
        <w:spacing w:after="0" w:line="240" w:lineRule="auto"/>
        <w:ind w:left="117" w:right="111"/>
        <w:jc w:val="both"/>
        <w:rPr>
          <w:rFonts w:ascii="Arial" w:hAnsi="Arial" w:cs="Arial"/>
          <w:color w:val="000000"/>
          <w:sz w:val="2"/>
          <w:szCs w:val="2"/>
        </w:rPr>
      </w:pPr>
    </w:p>
    <w:p w14:paraId="5ED9BA42"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61CB6D69"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rPr>
      </w:pPr>
      <w:r>
        <w:rPr>
          <w:rFonts w:ascii="Arial" w:hAnsi="Arial" w:cs="Arial"/>
          <w:b/>
          <w:bCs/>
          <w:color w:val="000000"/>
          <w:sz w:val="20"/>
          <w:szCs w:val="20"/>
        </w:rPr>
        <w:t>Réponse et groupement :</w:t>
      </w:r>
    </w:p>
    <w:p w14:paraId="54314383" w14:textId="77777777" w:rsidR="00FE1DF0" w:rsidRDefault="00FE1DF0">
      <w:pPr>
        <w:pStyle w:val="Standard"/>
        <w:widowControl w:val="0"/>
        <w:tabs>
          <w:tab w:val="left" w:pos="509"/>
        </w:tabs>
        <w:spacing w:after="0" w:line="240" w:lineRule="auto"/>
        <w:ind w:left="117" w:right="111"/>
        <w:jc w:val="both"/>
        <w:rPr>
          <w:rFonts w:ascii="Arial" w:hAnsi="Arial" w:cs="Arial"/>
          <w:color w:val="000000"/>
          <w:sz w:val="12"/>
          <w:szCs w:val="12"/>
        </w:rPr>
      </w:pPr>
    </w:p>
    <w:p w14:paraId="00F7E7CA" w14:textId="77777777" w:rsidR="00FE1DF0" w:rsidRDefault="00FE1DF0">
      <w:pPr>
        <w:pStyle w:val="Standard"/>
        <w:widowControl w:val="0"/>
        <w:tabs>
          <w:tab w:val="left" w:pos="392"/>
        </w:tabs>
        <w:spacing w:after="0" w:line="240" w:lineRule="auto"/>
        <w:ind w:right="111"/>
        <w:jc w:val="both"/>
        <w:rPr>
          <w:rFonts w:ascii="Arial" w:hAnsi="Arial" w:cs="Arial"/>
          <w:color w:val="000000"/>
          <w:sz w:val="20"/>
          <w:szCs w:val="20"/>
        </w:rPr>
      </w:pPr>
    </w:p>
    <w:p w14:paraId="4183D2C6"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Aucune forme particulière de groupement n’est imposée après attribution.</w:t>
      </w:r>
    </w:p>
    <w:p w14:paraId="7939DE14"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3C099D00"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Chaque marché public pourra être attribué à un opérateur économique seul ou à un groupement d'opérateurs économiques.</w:t>
      </w:r>
    </w:p>
    <w:p w14:paraId="57D8ED07"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Un même opérateur économique ne peut être mandataire de plus d'un groupement pour un même marché public.</w:t>
      </w:r>
    </w:p>
    <w:p w14:paraId="380A1231" w14:textId="77777777" w:rsidR="00FE1DF0" w:rsidRDefault="00FE1DF0">
      <w:pPr>
        <w:pStyle w:val="Standard"/>
        <w:widowControl w:val="0"/>
        <w:tabs>
          <w:tab w:val="left" w:pos="392"/>
        </w:tabs>
        <w:spacing w:after="0" w:line="240" w:lineRule="auto"/>
        <w:ind w:right="111"/>
        <w:jc w:val="both"/>
        <w:rPr>
          <w:rFonts w:ascii="Arial" w:hAnsi="Arial" w:cs="Arial"/>
          <w:color w:val="000000"/>
          <w:sz w:val="20"/>
          <w:szCs w:val="20"/>
        </w:rPr>
      </w:pPr>
    </w:p>
    <w:p w14:paraId="7568A3CF"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 public.</w:t>
      </w:r>
    </w:p>
    <w:p w14:paraId="4A613D60" w14:textId="77777777" w:rsidR="00FE1DF0" w:rsidRDefault="00FE1DF0">
      <w:pPr>
        <w:pStyle w:val="Standard"/>
        <w:widowControl w:val="0"/>
        <w:tabs>
          <w:tab w:val="left" w:pos="392"/>
        </w:tabs>
        <w:spacing w:after="0" w:line="240" w:lineRule="auto"/>
        <w:ind w:right="111"/>
        <w:jc w:val="both"/>
        <w:rPr>
          <w:rFonts w:ascii="Arial" w:hAnsi="Arial" w:cs="Arial"/>
          <w:color w:val="000000"/>
          <w:sz w:val="20"/>
          <w:szCs w:val="20"/>
        </w:rPr>
      </w:pPr>
    </w:p>
    <w:p w14:paraId="0F7C6B69"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w:t>
      </w:r>
      <w:r>
        <w:rPr>
          <w:rFonts w:ascii="Arial" w:hAnsi="Arial" w:cs="Arial"/>
          <w:color w:val="000000"/>
          <w:sz w:val="20"/>
          <w:szCs w:val="20"/>
        </w:rPr>
        <w:t>2151-6 du code de la commande publique).</w:t>
      </w:r>
    </w:p>
    <w:p w14:paraId="33316553"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Ex : l'offre remise sous le SIRET 22222222212345 et celle remise sous le SIRET 22222222265432 émanent du même opérateur économique.</w:t>
      </w:r>
    </w:p>
    <w:p w14:paraId="0908F440" w14:textId="77777777" w:rsidR="00FE1DF0" w:rsidRDefault="00FE1DF0">
      <w:pPr>
        <w:pStyle w:val="Standard"/>
        <w:widowControl w:val="0"/>
        <w:tabs>
          <w:tab w:val="left" w:pos="509"/>
        </w:tabs>
        <w:spacing w:after="0" w:line="240" w:lineRule="auto"/>
        <w:ind w:left="117" w:right="111"/>
        <w:jc w:val="both"/>
        <w:rPr>
          <w:rFonts w:ascii="Arial" w:hAnsi="Arial" w:cs="Arial"/>
          <w:color w:val="000000"/>
          <w:sz w:val="20"/>
          <w:szCs w:val="20"/>
        </w:rPr>
      </w:pPr>
    </w:p>
    <w:p w14:paraId="378EFF96"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b/>
          <w:color w:val="000000"/>
          <w:sz w:val="20"/>
          <w:szCs w:val="20"/>
          <w:u w:val="single"/>
        </w:rPr>
        <w:t>Interdiction de présentation d’offres multiples</w:t>
      </w:r>
    </w:p>
    <w:p w14:paraId="03EFEA26" w14:textId="77777777" w:rsidR="00FE1DF0" w:rsidRDefault="00FE1DF0">
      <w:pPr>
        <w:pStyle w:val="Standard"/>
        <w:widowControl w:val="0"/>
        <w:tabs>
          <w:tab w:val="left" w:pos="392"/>
        </w:tabs>
        <w:spacing w:after="0" w:line="240" w:lineRule="auto"/>
        <w:ind w:right="111"/>
        <w:jc w:val="both"/>
        <w:rPr>
          <w:rFonts w:ascii="Arial" w:hAnsi="Arial" w:cs="Arial"/>
          <w:color w:val="000000"/>
          <w:sz w:val="20"/>
          <w:szCs w:val="20"/>
          <w:shd w:val="clear" w:color="auto" w:fill="FFFFFF"/>
        </w:rPr>
      </w:pPr>
    </w:p>
    <w:p w14:paraId="25F66050"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Il est formellement interdit aux opérateurs économiques de présenter plusieurs offres pour le même marché public en agissant à la fois :</w:t>
      </w:r>
    </w:p>
    <w:p w14:paraId="77D9B2DA" w14:textId="77777777" w:rsidR="00FE1DF0" w:rsidRDefault="00E1399F">
      <w:pPr>
        <w:pStyle w:val="Standard"/>
        <w:numPr>
          <w:ilvl w:val="0"/>
          <w:numId w:val="13"/>
        </w:numPr>
        <w:spacing w:after="0" w:line="240" w:lineRule="auto"/>
        <w:jc w:val="both"/>
        <w:rPr>
          <w:rFonts w:hint="eastAsia"/>
          <w:shd w:val="clear" w:color="auto" w:fill="FFFFFF"/>
        </w:rPr>
      </w:pPr>
      <w:r>
        <w:rPr>
          <w:rFonts w:ascii="Arial" w:hAnsi="Arial" w:cs="Arial"/>
          <w:sz w:val="20"/>
          <w:szCs w:val="20"/>
          <w:shd w:val="clear" w:color="auto" w:fill="FFFFFF"/>
        </w:rPr>
        <w:t>en qualité d'opérateurs économiques individuels tout en figurant comme membre d'un ou plusieurs groupements ;</w:t>
      </w:r>
    </w:p>
    <w:p w14:paraId="75AF5492" w14:textId="77777777" w:rsidR="00FE1DF0" w:rsidRDefault="00E1399F">
      <w:pPr>
        <w:pStyle w:val="Standard"/>
        <w:numPr>
          <w:ilvl w:val="0"/>
          <w:numId w:val="13"/>
        </w:numPr>
        <w:spacing w:after="0" w:line="240" w:lineRule="auto"/>
        <w:jc w:val="both"/>
        <w:rPr>
          <w:rFonts w:hint="eastAsia"/>
          <w:shd w:val="clear" w:color="auto" w:fill="FFFFFF"/>
        </w:rPr>
      </w:pPr>
      <w:r>
        <w:rPr>
          <w:rFonts w:ascii="Arial" w:hAnsi="Arial" w:cs="Arial"/>
          <w:sz w:val="20"/>
          <w:szCs w:val="20"/>
          <w:shd w:val="clear" w:color="auto" w:fill="FFFFFF"/>
        </w:rPr>
        <w:t>en qualité de membre de plusieurs groupements (co-traitant ou mandataire).</w:t>
      </w:r>
    </w:p>
    <w:p w14:paraId="624C5D26" w14:textId="77777777" w:rsidR="00FE1DF0" w:rsidRDefault="00FE1DF0">
      <w:pPr>
        <w:pStyle w:val="Standard"/>
        <w:spacing w:after="0" w:line="240" w:lineRule="auto"/>
        <w:jc w:val="both"/>
        <w:rPr>
          <w:rFonts w:ascii="Arial" w:hAnsi="Arial" w:cs="Arial"/>
          <w:sz w:val="20"/>
          <w:szCs w:val="20"/>
          <w:shd w:val="clear" w:color="auto" w:fill="FFFFFF"/>
        </w:rPr>
      </w:pPr>
    </w:p>
    <w:p w14:paraId="269E5B3D" w14:textId="77777777" w:rsidR="00FE1DF0" w:rsidRDefault="00E1399F">
      <w:pPr>
        <w:pStyle w:val="Standard"/>
        <w:spacing w:after="0" w:line="240" w:lineRule="auto"/>
        <w:ind w:left="142"/>
        <w:jc w:val="both"/>
        <w:rPr>
          <w:rFonts w:hint="eastAsia"/>
          <w:shd w:val="clear" w:color="auto" w:fill="FFFFFF"/>
        </w:rPr>
      </w:pPr>
      <w:r>
        <w:rPr>
          <w:rFonts w:ascii="Arial" w:hAnsi="Arial" w:cs="Arial"/>
          <w:sz w:val="20"/>
          <w:szCs w:val="20"/>
          <w:shd w:val="clear" w:color="auto" w:fill="FFFFFF"/>
        </w:rPr>
        <w:t>Dans les cas visés ci-dessus, toutes ses offres seront déclarées irrecevables.</w:t>
      </w:r>
    </w:p>
    <w:p w14:paraId="241F043C" w14:textId="77777777" w:rsidR="00FE1DF0" w:rsidRDefault="00FE1DF0">
      <w:pPr>
        <w:pStyle w:val="Standard"/>
        <w:spacing w:after="0" w:line="240" w:lineRule="auto"/>
        <w:ind w:left="142"/>
        <w:jc w:val="both"/>
        <w:rPr>
          <w:rFonts w:ascii="Arial" w:hAnsi="Arial" w:cs="Arial"/>
          <w:sz w:val="20"/>
          <w:szCs w:val="20"/>
          <w:shd w:val="clear" w:color="auto" w:fill="FFFFFF"/>
        </w:rPr>
      </w:pPr>
    </w:p>
    <w:p w14:paraId="54F239CD" w14:textId="77777777" w:rsidR="00FE1DF0" w:rsidRDefault="00E1399F">
      <w:pPr>
        <w:pStyle w:val="Standard"/>
        <w:spacing w:after="0" w:line="240" w:lineRule="auto"/>
        <w:ind w:left="142"/>
        <w:jc w:val="both"/>
        <w:rPr>
          <w:rFonts w:hint="eastAsia"/>
          <w:shd w:val="clear" w:color="auto" w:fill="FFFFFF"/>
        </w:rPr>
      </w:pPr>
      <w:r>
        <w:rPr>
          <w:rFonts w:ascii="Arial" w:hAnsi="Arial" w:cs="Arial"/>
          <w:sz w:val="20"/>
          <w:szCs w:val="20"/>
          <w:shd w:val="clear" w:color="auto" w:fill="FFFFFF"/>
        </w:rPr>
        <w:t>Tous les groupements constitués des mêmes opérateurs économiques seront considérés par l’acheteur comme un seul et même groupement, quand bien même les entités économiques qui le composent ont permuté (un cotraitant devenant mandataire ou inversement).</w:t>
      </w:r>
    </w:p>
    <w:p w14:paraId="6BA05CAA" w14:textId="77777777" w:rsidR="00FE1DF0" w:rsidRDefault="00FE1DF0">
      <w:pPr>
        <w:pStyle w:val="Standard"/>
        <w:spacing w:after="0" w:line="240" w:lineRule="auto"/>
        <w:ind w:left="142"/>
        <w:jc w:val="both"/>
        <w:rPr>
          <w:rFonts w:ascii="Arial" w:hAnsi="Arial" w:cs="Arial"/>
          <w:sz w:val="20"/>
          <w:szCs w:val="20"/>
          <w:shd w:val="clear" w:color="auto" w:fill="FFFF00"/>
        </w:rPr>
      </w:pPr>
    </w:p>
    <w:p w14:paraId="020FD4E1"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lastRenderedPageBreak/>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w:t>
      </w:r>
      <w:r>
        <w:rPr>
          <w:rFonts w:ascii="Arial" w:hAnsi="Arial" w:cs="Arial"/>
          <w:color w:val="000000"/>
          <w:sz w:val="20"/>
          <w:szCs w:val="20"/>
          <w:shd w:val="clear" w:color="auto" w:fill="FFFFFF"/>
        </w:rPr>
        <w:t>imilarité de leurs offres pour un même lot, elles seront regardées comme un seul et même soumissionnaire et seule sera retenue la dernière réponse déposée avant la date limite de dépôt des plis (article R2151-6 du code de la commande publique).</w:t>
      </w:r>
    </w:p>
    <w:p w14:paraId="34667D9A" w14:textId="77777777" w:rsidR="00FE1DF0" w:rsidRDefault="00FE1DF0">
      <w:pPr>
        <w:pStyle w:val="Standard"/>
        <w:widowControl w:val="0"/>
        <w:tabs>
          <w:tab w:val="left" w:pos="509"/>
        </w:tabs>
        <w:spacing w:after="0" w:line="240" w:lineRule="auto"/>
        <w:ind w:left="117" w:right="111"/>
        <w:jc w:val="both"/>
        <w:rPr>
          <w:rFonts w:ascii="Arial" w:hAnsi="Arial" w:cs="Arial"/>
          <w:color w:val="000000"/>
          <w:sz w:val="20"/>
          <w:szCs w:val="20"/>
          <w:shd w:val="clear" w:color="auto" w:fill="FFFFFF"/>
        </w:rPr>
      </w:pPr>
    </w:p>
    <w:p w14:paraId="5AED49D3"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zCs w:val="20"/>
          <w:shd w:val="clear" w:color="auto" w:fill="FFFFFF"/>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5C35FC11" w14:textId="77777777" w:rsidR="00FE1DF0" w:rsidRDefault="00FE1DF0">
      <w:pPr>
        <w:pStyle w:val="Standard"/>
        <w:keepLines/>
        <w:widowControl w:val="0"/>
        <w:tabs>
          <w:tab w:val="left" w:pos="392"/>
        </w:tabs>
        <w:spacing w:after="0" w:line="240" w:lineRule="auto"/>
        <w:ind w:right="111"/>
        <w:jc w:val="both"/>
        <w:rPr>
          <w:rFonts w:ascii="Arial" w:hAnsi="Arial" w:cs="Arial"/>
          <w:color w:val="000000"/>
          <w:sz w:val="20"/>
          <w:szCs w:val="20"/>
        </w:rPr>
      </w:pPr>
    </w:p>
    <w:p w14:paraId="1E13FEE8" w14:textId="77777777" w:rsidR="00FE1DF0" w:rsidRDefault="00FE1DF0">
      <w:pPr>
        <w:pStyle w:val="Standard"/>
        <w:keepLines/>
        <w:widowControl w:val="0"/>
        <w:tabs>
          <w:tab w:val="left" w:pos="392"/>
        </w:tabs>
        <w:spacing w:after="0" w:line="240" w:lineRule="auto"/>
        <w:ind w:right="111"/>
        <w:jc w:val="both"/>
        <w:rPr>
          <w:rFonts w:ascii="Arial" w:hAnsi="Arial" w:cs="Arial"/>
          <w:color w:val="000000"/>
          <w:sz w:val="20"/>
          <w:szCs w:val="20"/>
        </w:rPr>
      </w:pPr>
    </w:p>
    <w:p w14:paraId="0026BEE3"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6975AB35"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rPr>
      </w:pPr>
      <w:r>
        <w:rPr>
          <w:rFonts w:ascii="Arial" w:hAnsi="Arial" w:cs="Arial"/>
          <w:b/>
          <w:bCs/>
          <w:color w:val="000000"/>
          <w:sz w:val="20"/>
          <w:szCs w:val="20"/>
        </w:rPr>
        <w:t>Variantes :</w:t>
      </w:r>
    </w:p>
    <w:p w14:paraId="6235F88E"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rPr>
      </w:pPr>
    </w:p>
    <w:p w14:paraId="4B8D41D1" w14:textId="77777777" w:rsidR="00FE1DF0" w:rsidRDefault="00FE1DF0">
      <w:pPr>
        <w:pStyle w:val="Standard"/>
        <w:widowControl w:val="0"/>
        <w:tabs>
          <w:tab w:val="left" w:pos="392"/>
        </w:tabs>
        <w:spacing w:after="0" w:line="240" w:lineRule="auto"/>
        <w:ind w:right="111"/>
        <w:jc w:val="both"/>
        <w:rPr>
          <w:rFonts w:ascii="Arial" w:hAnsi="Arial" w:cs="Arial"/>
          <w:color w:val="000000"/>
          <w:sz w:val="20"/>
          <w:szCs w:val="20"/>
          <w:shd w:val="clear" w:color="auto" w:fill="FFFFFF"/>
        </w:rPr>
      </w:pPr>
    </w:p>
    <w:p w14:paraId="0522CDCA" w14:textId="77777777" w:rsidR="00FE1DF0" w:rsidRDefault="00E1399F">
      <w:pPr>
        <w:pStyle w:val="Standard"/>
        <w:ind w:firstLine="142"/>
        <w:jc w:val="both"/>
        <w:rPr>
          <w:rFonts w:hint="eastAsia"/>
          <w:shd w:val="clear" w:color="auto" w:fill="FFFFFF"/>
        </w:rPr>
      </w:pPr>
      <w:r>
        <w:rPr>
          <w:rFonts w:ascii="Arial" w:hAnsi="Arial" w:cs="Arial"/>
          <w:sz w:val="20"/>
          <w:szCs w:val="20"/>
          <w:shd w:val="clear" w:color="auto" w:fill="FFFFFF"/>
        </w:rPr>
        <w:t>Les variantes à l’initiative des candidats ne sont pas autorisées.</w:t>
      </w:r>
    </w:p>
    <w:p w14:paraId="233D7036" w14:textId="77777777" w:rsidR="00FE1DF0" w:rsidRDefault="00E1399F">
      <w:pPr>
        <w:pStyle w:val="Standard"/>
        <w:ind w:firstLine="142"/>
        <w:jc w:val="both"/>
        <w:rPr>
          <w:rFonts w:hint="eastAsia"/>
          <w:shd w:val="clear" w:color="auto" w:fill="FFFFFF"/>
        </w:rPr>
      </w:pPr>
      <w:r>
        <w:rPr>
          <w:rFonts w:ascii="Arial" w:hAnsi="Arial" w:cs="Arial"/>
          <w:sz w:val="20"/>
          <w:szCs w:val="20"/>
          <w:shd w:val="clear" w:color="auto" w:fill="FFFFFF"/>
        </w:rPr>
        <w:t>L’acheteur n’impose aucune variante.</w:t>
      </w:r>
    </w:p>
    <w:p w14:paraId="07069971" w14:textId="77777777" w:rsidR="00FE1DF0" w:rsidRDefault="00FE1DF0">
      <w:pPr>
        <w:pStyle w:val="Standard"/>
        <w:widowControl w:val="0"/>
        <w:tabs>
          <w:tab w:val="left" w:pos="392"/>
        </w:tabs>
        <w:spacing w:after="0" w:line="240" w:lineRule="auto"/>
        <w:ind w:right="111"/>
        <w:jc w:val="both"/>
        <w:rPr>
          <w:rFonts w:ascii="Arial" w:hAnsi="Arial" w:cs="Arial"/>
          <w:color w:val="000000"/>
          <w:sz w:val="20"/>
          <w:szCs w:val="20"/>
          <w:shd w:val="clear" w:color="auto" w:fill="FFFFFF"/>
        </w:rPr>
      </w:pPr>
    </w:p>
    <w:p w14:paraId="23394504"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rPr>
      </w:pPr>
      <w:r>
        <w:rPr>
          <w:rFonts w:ascii="Arial" w:hAnsi="Arial" w:cs="Arial"/>
          <w:b/>
          <w:bCs/>
          <w:color w:val="000000"/>
          <w:sz w:val="20"/>
          <w:szCs w:val="20"/>
        </w:rPr>
        <w:t>Prestations supplémentaires éventuelles :</w:t>
      </w:r>
    </w:p>
    <w:p w14:paraId="6719706F" w14:textId="77777777" w:rsidR="00FE1DF0" w:rsidRDefault="00FE1DF0">
      <w:pPr>
        <w:pStyle w:val="Standard"/>
        <w:widowControl w:val="0"/>
        <w:tabs>
          <w:tab w:val="left" w:pos="392"/>
        </w:tabs>
        <w:spacing w:after="0" w:line="240" w:lineRule="auto"/>
        <w:ind w:right="111"/>
        <w:jc w:val="both"/>
        <w:rPr>
          <w:rFonts w:ascii="Arial" w:hAnsi="Arial" w:cs="Arial"/>
          <w:color w:val="000000"/>
          <w:sz w:val="20"/>
          <w:szCs w:val="20"/>
        </w:rPr>
      </w:pPr>
    </w:p>
    <w:p w14:paraId="55FB4530" w14:textId="77777777" w:rsidR="00FE1DF0" w:rsidRDefault="00E1399F">
      <w:pPr>
        <w:pStyle w:val="Standard"/>
        <w:keepLines/>
        <w:widowControl w:val="0"/>
        <w:tabs>
          <w:tab w:val="left" w:pos="259"/>
        </w:tabs>
        <w:spacing w:after="0" w:line="240" w:lineRule="auto"/>
        <w:ind w:left="117" w:right="111"/>
        <w:jc w:val="both"/>
        <w:rPr>
          <w:rFonts w:hint="eastAsia"/>
        </w:rPr>
      </w:pPr>
      <w:r>
        <w:rPr>
          <w:rFonts w:ascii="Arial" w:hAnsi="Arial" w:cs="Arial"/>
          <w:color w:val="000000"/>
          <w:sz w:val="20"/>
          <w:szCs w:val="20"/>
        </w:rPr>
        <w:t xml:space="preserve">Des </w:t>
      </w:r>
      <w:r>
        <w:rPr>
          <w:rFonts w:ascii="Arial" w:hAnsi="Arial" w:cs="Arial"/>
          <w:b/>
          <w:bCs/>
          <w:color w:val="000000"/>
          <w:sz w:val="20"/>
          <w:szCs w:val="20"/>
        </w:rPr>
        <w:t>prestations supplémentaires éventuelles</w:t>
      </w:r>
      <w:r>
        <w:rPr>
          <w:rFonts w:ascii="Arial" w:hAnsi="Arial" w:cs="Arial"/>
          <w:color w:val="000000"/>
          <w:sz w:val="20"/>
          <w:szCs w:val="20"/>
        </w:rPr>
        <w:t xml:space="preserve"> (PSE) sont exigées par l’acheteur dans les conditions suivantes :</w:t>
      </w:r>
    </w:p>
    <w:p w14:paraId="239A2DBD" w14:textId="77777777" w:rsidR="00FE1DF0" w:rsidRDefault="00FE1DF0">
      <w:pPr>
        <w:pStyle w:val="Standard"/>
        <w:keepLines/>
        <w:widowControl w:val="0"/>
        <w:tabs>
          <w:tab w:val="left" w:pos="259"/>
        </w:tabs>
        <w:spacing w:after="0" w:line="240" w:lineRule="auto"/>
        <w:ind w:left="117" w:right="111"/>
        <w:jc w:val="both"/>
        <w:rPr>
          <w:rFonts w:ascii="Arial" w:hAnsi="Arial" w:cs="Arial"/>
          <w:color w:val="000000"/>
          <w:sz w:val="20"/>
          <w:szCs w:val="20"/>
        </w:rPr>
      </w:pPr>
    </w:p>
    <w:p w14:paraId="6CD96354" w14:textId="77777777" w:rsidR="00FE1DF0" w:rsidRDefault="00E1399F">
      <w:pPr>
        <w:pStyle w:val="Standard"/>
        <w:numPr>
          <w:ilvl w:val="0"/>
          <w:numId w:val="14"/>
        </w:numPr>
        <w:spacing w:after="0" w:line="240" w:lineRule="auto"/>
        <w:rPr>
          <w:rFonts w:hint="eastAsia"/>
          <w:shd w:val="clear" w:color="auto" w:fill="FFFFFF"/>
        </w:rPr>
      </w:pPr>
      <w:r>
        <w:rPr>
          <w:rFonts w:ascii="Arial" w:eastAsia="Arial" w:hAnsi="Arial" w:cs="Arial"/>
          <w:color w:val="000000"/>
          <w:sz w:val="19"/>
          <w:szCs w:val="19"/>
          <w:shd w:val="clear" w:color="auto" w:fill="FFFFFF"/>
        </w:rPr>
        <w:t>PSE 01.01 – Préau d'entrée – lot 1- GO – Estimation : moins-value : 7 680.00 € HT</w:t>
      </w:r>
    </w:p>
    <w:p w14:paraId="6AC48C24" w14:textId="77777777" w:rsidR="00FE1DF0" w:rsidRDefault="00FE1DF0">
      <w:pPr>
        <w:pStyle w:val="Standard"/>
        <w:spacing w:after="0" w:line="240" w:lineRule="auto"/>
        <w:ind w:left="720"/>
        <w:rPr>
          <w:rFonts w:hint="eastAsia"/>
          <w:color w:val="000000"/>
          <w:shd w:val="clear" w:color="auto" w:fill="FFFFFF"/>
        </w:rPr>
      </w:pPr>
    </w:p>
    <w:p w14:paraId="11414062" w14:textId="77777777" w:rsidR="00FE1DF0" w:rsidRDefault="00E1399F">
      <w:pPr>
        <w:pStyle w:val="Standard"/>
        <w:numPr>
          <w:ilvl w:val="0"/>
          <w:numId w:val="14"/>
        </w:numPr>
        <w:spacing w:after="0" w:line="240" w:lineRule="auto"/>
        <w:rPr>
          <w:rFonts w:hint="eastAsia"/>
          <w:shd w:val="clear" w:color="auto" w:fill="FFFFFF"/>
        </w:rPr>
      </w:pPr>
      <w:r>
        <w:rPr>
          <w:rFonts w:ascii="Arial" w:eastAsia="Arial" w:hAnsi="Arial" w:cs="Arial"/>
          <w:color w:val="000000"/>
          <w:sz w:val="19"/>
          <w:szCs w:val="19"/>
          <w:shd w:val="clear" w:color="auto" w:fill="FFFFFF"/>
        </w:rPr>
        <w:t>PSE 01.13 – Préau d'entrée – lot 13 – VRD - Estimation : moins-value : 17 560.00 € HT</w:t>
      </w:r>
    </w:p>
    <w:p w14:paraId="0F4FBA75" w14:textId="77777777" w:rsidR="00FE1DF0" w:rsidRDefault="00FE1DF0">
      <w:pPr>
        <w:pStyle w:val="Standard"/>
        <w:spacing w:after="0" w:line="240" w:lineRule="auto"/>
        <w:rPr>
          <w:rFonts w:hint="eastAsia"/>
          <w:color w:val="000000"/>
          <w:shd w:val="clear" w:color="auto" w:fill="FFFFFF"/>
        </w:rPr>
      </w:pPr>
    </w:p>
    <w:p w14:paraId="00B0DF98" w14:textId="77777777" w:rsidR="00FE1DF0" w:rsidRDefault="00E1399F">
      <w:pPr>
        <w:pStyle w:val="Standard"/>
        <w:numPr>
          <w:ilvl w:val="0"/>
          <w:numId w:val="14"/>
        </w:numPr>
        <w:spacing w:after="0" w:line="240" w:lineRule="auto"/>
        <w:rPr>
          <w:rFonts w:hint="eastAsia"/>
          <w:shd w:val="clear" w:color="auto" w:fill="FFFFFF"/>
        </w:rPr>
      </w:pPr>
      <w:r>
        <w:rPr>
          <w:rFonts w:ascii="Arial" w:eastAsia="Arial" w:hAnsi="Arial" w:cs="Arial"/>
          <w:color w:val="000000"/>
          <w:sz w:val="19"/>
          <w:szCs w:val="19"/>
          <w:shd w:val="clear" w:color="auto" w:fill="FFFFFF"/>
        </w:rPr>
        <w:t>PSE 02 – ajout Module adiabatique - lot 11 – CVC - Estimation : moins-value : 12 500.00 € HT</w:t>
      </w:r>
    </w:p>
    <w:p w14:paraId="1C7E6977" w14:textId="77777777" w:rsidR="00FE1DF0" w:rsidRDefault="00FE1DF0">
      <w:pPr>
        <w:pStyle w:val="Standard"/>
        <w:spacing w:after="0" w:line="240" w:lineRule="auto"/>
        <w:ind w:left="720"/>
        <w:rPr>
          <w:rFonts w:hint="eastAsia"/>
          <w:color w:val="000000"/>
          <w:shd w:val="clear" w:color="auto" w:fill="FFFFFF"/>
        </w:rPr>
      </w:pPr>
    </w:p>
    <w:p w14:paraId="38A0CA41" w14:textId="77777777" w:rsidR="00FE1DF0" w:rsidRDefault="00E1399F">
      <w:pPr>
        <w:pStyle w:val="Standard"/>
        <w:numPr>
          <w:ilvl w:val="0"/>
          <w:numId w:val="14"/>
        </w:numPr>
        <w:spacing w:after="0" w:line="240" w:lineRule="auto"/>
        <w:rPr>
          <w:rFonts w:hint="eastAsia"/>
          <w:shd w:val="clear" w:color="auto" w:fill="FFFFFF"/>
        </w:rPr>
      </w:pPr>
      <w:r>
        <w:rPr>
          <w:rFonts w:ascii="Arial" w:eastAsia="Arial" w:hAnsi="Arial" w:cs="Arial"/>
          <w:color w:val="000000"/>
          <w:sz w:val="19"/>
          <w:szCs w:val="19"/>
          <w:shd w:val="clear" w:color="auto" w:fill="FFFFFF"/>
        </w:rPr>
        <w:t>PSE 03 – Plafonds fibre de bois - lot 6 – Plâtrerie - Estimation : moins-value : 11 600.00 € HT</w:t>
      </w:r>
    </w:p>
    <w:p w14:paraId="0B7C04A8" w14:textId="77777777" w:rsidR="00FE1DF0" w:rsidRDefault="00FE1DF0">
      <w:pPr>
        <w:pStyle w:val="Standard"/>
        <w:spacing w:after="0" w:line="240" w:lineRule="auto"/>
        <w:ind w:left="720"/>
        <w:rPr>
          <w:rFonts w:hint="eastAsia"/>
          <w:color w:val="000000"/>
          <w:shd w:val="clear" w:color="auto" w:fill="FFFFFF"/>
        </w:rPr>
      </w:pPr>
    </w:p>
    <w:p w14:paraId="2FCB6584" w14:textId="77777777" w:rsidR="00FE1DF0" w:rsidRDefault="00E1399F">
      <w:pPr>
        <w:pStyle w:val="Standard"/>
        <w:numPr>
          <w:ilvl w:val="0"/>
          <w:numId w:val="14"/>
        </w:numPr>
        <w:spacing w:after="0" w:line="240" w:lineRule="auto"/>
        <w:rPr>
          <w:rFonts w:hint="eastAsia"/>
          <w:shd w:val="clear" w:color="auto" w:fill="FFFFFF"/>
        </w:rPr>
      </w:pPr>
      <w:r>
        <w:rPr>
          <w:rFonts w:ascii="Arial" w:eastAsia="Arial" w:hAnsi="Arial" w:cs="Arial"/>
          <w:color w:val="000000"/>
          <w:sz w:val="19"/>
          <w:szCs w:val="19"/>
          <w:shd w:val="clear" w:color="auto" w:fill="FFFFFF"/>
        </w:rPr>
        <w:t>PSE 04 – Enclos vélos / poubelles – lot 13 – VRD - Estimation : moins-value : 10 100.00 € HT</w:t>
      </w:r>
    </w:p>
    <w:p w14:paraId="2902538B" w14:textId="77777777" w:rsidR="00FE1DF0" w:rsidRDefault="00FE1DF0">
      <w:pPr>
        <w:pStyle w:val="Standard"/>
        <w:spacing w:after="0" w:line="240" w:lineRule="auto"/>
        <w:ind w:left="720"/>
        <w:rPr>
          <w:rFonts w:hint="eastAsia"/>
          <w:color w:val="000000"/>
          <w:shd w:val="clear" w:color="auto" w:fill="FFFFFF"/>
        </w:rPr>
      </w:pPr>
    </w:p>
    <w:p w14:paraId="594BC620" w14:textId="77777777" w:rsidR="00FE1DF0" w:rsidRDefault="00E1399F">
      <w:pPr>
        <w:pStyle w:val="Standard"/>
        <w:numPr>
          <w:ilvl w:val="0"/>
          <w:numId w:val="14"/>
        </w:numPr>
        <w:spacing w:after="60" w:line="240" w:lineRule="auto"/>
        <w:rPr>
          <w:rFonts w:hint="eastAsia"/>
          <w:shd w:val="clear" w:color="auto" w:fill="FFFFFF"/>
        </w:rPr>
      </w:pPr>
      <w:r>
        <w:rPr>
          <w:rFonts w:ascii="Arial" w:eastAsia="Arial" w:hAnsi="Arial" w:cs="Arial"/>
          <w:color w:val="000000"/>
          <w:sz w:val="19"/>
          <w:szCs w:val="19"/>
          <w:shd w:val="clear" w:color="auto" w:fill="FFFFFF"/>
        </w:rPr>
        <w:t>PSE 05. – Jeux et jardins pédagogiques cour maternelle – lot 13 – VRD - Estimation : moins-value : 12 452.00 € HT</w:t>
      </w:r>
    </w:p>
    <w:p w14:paraId="4AFC902B" w14:textId="77777777" w:rsidR="00FE1DF0" w:rsidRDefault="00FE1DF0">
      <w:pPr>
        <w:pStyle w:val="Standard"/>
        <w:widowControl w:val="0"/>
        <w:tabs>
          <w:tab w:val="left" w:pos="509"/>
        </w:tabs>
        <w:spacing w:after="0" w:line="240" w:lineRule="auto"/>
        <w:ind w:left="117" w:right="111"/>
        <w:jc w:val="both"/>
        <w:rPr>
          <w:rFonts w:ascii="Arial" w:hAnsi="Arial" w:cs="Arial"/>
          <w:sz w:val="20"/>
          <w:szCs w:val="20"/>
          <w:shd w:val="clear" w:color="auto" w:fill="FFFFFF"/>
        </w:rPr>
      </w:pPr>
    </w:p>
    <w:p w14:paraId="56339397" w14:textId="77777777" w:rsidR="00FE1DF0" w:rsidRDefault="00E1399F">
      <w:pPr>
        <w:pStyle w:val="Standard"/>
        <w:keepLines/>
        <w:widowControl w:val="0"/>
        <w:tabs>
          <w:tab w:val="left" w:pos="259"/>
        </w:tabs>
        <w:spacing w:after="0" w:line="240" w:lineRule="auto"/>
        <w:ind w:left="117" w:right="111"/>
        <w:jc w:val="both"/>
        <w:rPr>
          <w:rFonts w:hint="eastAsia"/>
          <w:shd w:val="clear" w:color="auto" w:fill="FFFFFF"/>
        </w:rPr>
      </w:pPr>
      <w:r>
        <w:rPr>
          <w:rFonts w:ascii="Arial" w:hAnsi="Arial" w:cs="Arial"/>
          <w:color w:val="000000"/>
          <w:sz w:val="20"/>
          <w:szCs w:val="18"/>
          <w:shd w:val="clear" w:color="auto" w:fill="FFFFFF"/>
        </w:rPr>
        <w:t>La réponse aux PSE est obligatoire.</w:t>
      </w:r>
      <w:r>
        <w:rPr>
          <w:rFonts w:ascii="Arial" w:hAnsi="Arial" w:cs="Arial"/>
          <w:shd w:val="clear" w:color="auto" w:fill="FFFFFF"/>
        </w:rPr>
        <w:t xml:space="preserve"> </w:t>
      </w:r>
      <w:r>
        <w:rPr>
          <w:rFonts w:ascii="Arial" w:hAnsi="Arial" w:cs="Arial"/>
          <w:color w:val="000000"/>
          <w:sz w:val="20"/>
          <w:szCs w:val="18"/>
          <w:shd w:val="clear" w:color="auto" w:fill="FFFFFF"/>
        </w:rPr>
        <w:t xml:space="preserve">Le soumissionnaire devra </w:t>
      </w:r>
      <w:r>
        <w:rPr>
          <w:rFonts w:ascii="Arial" w:hAnsi="Arial" w:cs="Arial"/>
          <w:b/>
          <w:bCs/>
          <w:color w:val="000000"/>
          <w:sz w:val="20"/>
          <w:szCs w:val="18"/>
          <w:u w:val="single"/>
          <w:shd w:val="clear" w:color="auto" w:fill="FFFFFF"/>
        </w:rPr>
        <w:t>impérativement</w:t>
      </w:r>
      <w:r>
        <w:rPr>
          <w:rFonts w:ascii="Arial" w:hAnsi="Arial" w:cs="Arial"/>
          <w:color w:val="000000"/>
          <w:sz w:val="20"/>
          <w:szCs w:val="18"/>
          <w:shd w:val="clear" w:color="auto" w:fill="FFFFFF"/>
        </w:rPr>
        <w:t xml:space="preserve"> chiffrer les PSE obligatoires exigées dans la DPGF (du lot concerné). A défaut, l'offre sera déclarée irrégulière.</w:t>
      </w:r>
    </w:p>
    <w:p w14:paraId="13B1FD1F" w14:textId="77777777" w:rsidR="00FE1DF0" w:rsidRDefault="00FE1DF0">
      <w:pPr>
        <w:pStyle w:val="Standard"/>
        <w:keepLines/>
        <w:widowControl w:val="0"/>
        <w:tabs>
          <w:tab w:val="left" w:pos="259"/>
        </w:tabs>
        <w:spacing w:after="0" w:line="240" w:lineRule="auto"/>
        <w:ind w:left="117" w:right="111"/>
        <w:jc w:val="both"/>
        <w:rPr>
          <w:rFonts w:ascii="Arial" w:hAnsi="Arial" w:cs="Arial"/>
          <w:color w:val="000000"/>
          <w:sz w:val="20"/>
          <w:szCs w:val="18"/>
          <w:shd w:val="clear" w:color="auto" w:fill="FFFFFF"/>
        </w:rPr>
      </w:pPr>
    </w:p>
    <w:p w14:paraId="2E484C01" w14:textId="77777777" w:rsidR="00FE1DF0" w:rsidRDefault="00E1399F">
      <w:pPr>
        <w:pStyle w:val="Standard"/>
        <w:keepLines/>
        <w:widowControl w:val="0"/>
        <w:tabs>
          <w:tab w:val="left" w:pos="259"/>
        </w:tabs>
        <w:spacing w:after="0" w:line="240" w:lineRule="auto"/>
        <w:ind w:left="117" w:right="111"/>
        <w:jc w:val="both"/>
        <w:rPr>
          <w:rFonts w:hint="eastAsia"/>
          <w:shd w:val="clear" w:color="auto" w:fill="FFFFFF"/>
        </w:rPr>
      </w:pPr>
      <w:r>
        <w:rPr>
          <w:rFonts w:ascii="Arial" w:hAnsi="Arial" w:cs="Arial"/>
          <w:color w:val="000000"/>
          <w:sz w:val="20"/>
          <w:szCs w:val="18"/>
          <w:shd w:val="clear" w:color="auto" w:fill="FFFFFF"/>
        </w:rPr>
        <w:t>Si la PSE est retenue, elle sera indiquée et chiffrée dans l'acte d'engagement qui sera rempli par l’Administration pour l’attributaire pressenti.</w:t>
      </w:r>
    </w:p>
    <w:p w14:paraId="26988F9E" w14:textId="77777777" w:rsidR="00FE1DF0" w:rsidRDefault="00FE1DF0">
      <w:pPr>
        <w:pStyle w:val="Standard"/>
        <w:keepLines/>
        <w:widowControl w:val="0"/>
        <w:tabs>
          <w:tab w:val="left" w:pos="259"/>
        </w:tabs>
        <w:spacing w:after="0" w:line="240" w:lineRule="auto"/>
        <w:ind w:left="117" w:right="111"/>
        <w:jc w:val="both"/>
        <w:rPr>
          <w:rFonts w:ascii="Arial" w:hAnsi="Arial" w:cs="Arial"/>
          <w:color w:val="000000"/>
          <w:sz w:val="20"/>
          <w:szCs w:val="18"/>
          <w:shd w:val="clear" w:color="auto" w:fill="FFFFFF"/>
        </w:rPr>
      </w:pPr>
    </w:p>
    <w:p w14:paraId="45CA5E4A" w14:textId="77777777" w:rsidR="00FE1DF0" w:rsidRDefault="00E1399F">
      <w:pPr>
        <w:pStyle w:val="Standard"/>
        <w:keepLines/>
        <w:widowControl w:val="0"/>
        <w:tabs>
          <w:tab w:val="left" w:pos="259"/>
        </w:tabs>
        <w:spacing w:after="0" w:line="240" w:lineRule="auto"/>
        <w:ind w:left="117" w:right="111"/>
        <w:jc w:val="both"/>
        <w:rPr>
          <w:rFonts w:hint="eastAsia"/>
          <w:shd w:val="clear" w:color="auto" w:fill="FFFFFF"/>
        </w:rPr>
      </w:pPr>
      <w:r>
        <w:rPr>
          <w:rFonts w:ascii="Arial" w:hAnsi="Arial" w:cs="Arial"/>
          <w:color w:val="000000"/>
          <w:sz w:val="20"/>
          <w:szCs w:val="18"/>
          <w:shd w:val="clear" w:color="auto" w:fill="FFFFFF"/>
        </w:rPr>
        <w:t>Les PSE obligatoires doivent être détaillées dans l’offre du candidat. Les candidats doivent détailler la spécification et les répercussions financières de la PSE présentée dans leur mémoire technique.</w:t>
      </w:r>
    </w:p>
    <w:p w14:paraId="7F901811" w14:textId="77777777" w:rsidR="00FE1DF0" w:rsidRDefault="00FE1DF0">
      <w:pPr>
        <w:pStyle w:val="Standard"/>
        <w:widowControl w:val="0"/>
        <w:tabs>
          <w:tab w:val="left" w:pos="259"/>
        </w:tabs>
        <w:spacing w:after="0" w:line="240" w:lineRule="auto"/>
        <w:ind w:left="117" w:right="111"/>
        <w:jc w:val="both"/>
        <w:rPr>
          <w:rFonts w:hint="eastAsia"/>
          <w:shd w:val="clear" w:color="auto" w:fill="FFFFFF"/>
        </w:rPr>
      </w:pPr>
    </w:p>
    <w:p w14:paraId="55F8468D" w14:textId="77777777" w:rsidR="00FE1DF0" w:rsidRDefault="00FE1DF0">
      <w:pPr>
        <w:pStyle w:val="Standard"/>
        <w:widowControl w:val="0"/>
        <w:tabs>
          <w:tab w:val="left" w:pos="259"/>
        </w:tabs>
        <w:spacing w:after="0" w:line="240" w:lineRule="auto"/>
        <w:ind w:left="117" w:right="111"/>
        <w:jc w:val="both"/>
        <w:rPr>
          <w:rFonts w:hint="eastAsia"/>
          <w:shd w:val="clear" w:color="auto" w:fill="FFFFFF"/>
        </w:rPr>
      </w:pPr>
    </w:p>
    <w:p w14:paraId="30B76B29" w14:textId="77777777" w:rsidR="00FE1DF0" w:rsidRDefault="00FE1DF0">
      <w:pPr>
        <w:pStyle w:val="Standard"/>
        <w:widowControl w:val="0"/>
        <w:tabs>
          <w:tab w:val="left" w:pos="259"/>
        </w:tabs>
        <w:spacing w:after="0" w:line="240" w:lineRule="auto"/>
        <w:ind w:left="117" w:right="111"/>
        <w:jc w:val="both"/>
        <w:rPr>
          <w:rFonts w:hint="eastAsia"/>
          <w:shd w:val="clear" w:color="auto" w:fill="FFFFFF"/>
        </w:rPr>
      </w:pPr>
    </w:p>
    <w:p w14:paraId="0796D8DE" w14:textId="77777777" w:rsidR="00FE1DF0" w:rsidRDefault="00FE1DF0">
      <w:pPr>
        <w:pStyle w:val="Standard"/>
        <w:widowControl w:val="0"/>
        <w:tabs>
          <w:tab w:val="left" w:pos="259"/>
        </w:tabs>
        <w:spacing w:after="0" w:line="240" w:lineRule="auto"/>
        <w:ind w:left="117" w:right="111"/>
        <w:jc w:val="both"/>
        <w:rPr>
          <w:rFonts w:hint="eastAsia"/>
          <w:shd w:val="clear" w:color="auto" w:fill="FFFFFF"/>
        </w:rPr>
      </w:pPr>
    </w:p>
    <w:p w14:paraId="410A6F60" w14:textId="77777777" w:rsidR="00FE1DF0" w:rsidRDefault="00FE1DF0">
      <w:pPr>
        <w:pStyle w:val="Standard"/>
        <w:widowControl w:val="0"/>
        <w:tabs>
          <w:tab w:val="left" w:pos="259"/>
        </w:tabs>
        <w:spacing w:after="0" w:line="240" w:lineRule="auto"/>
        <w:ind w:left="117" w:right="111"/>
        <w:jc w:val="both"/>
        <w:rPr>
          <w:rFonts w:hint="eastAsia"/>
          <w:shd w:val="clear" w:color="auto" w:fill="FFFFFF"/>
        </w:rPr>
      </w:pPr>
    </w:p>
    <w:p w14:paraId="485F8E97" w14:textId="77777777" w:rsidR="00FE1DF0" w:rsidRDefault="00FE1DF0">
      <w:pPr>
        <w:pStyle w:val="Standard"/>
        <w:widowControl w:val="0"/>
        <w:tabs>
          <w:tab w:val="left" w:pos="259"/>
        </w:tabs>
        <w:spacing w:after="0" w:line="240" w:lineRule="auto"/>
        <w:ind w:left="117" w:right="111"/>
        <w:jc w:val="both"/>
        <w:rPr>
          <w:rFonts w:hint="eastAsia"/>
          <w:shd w:val="clear" w:color="auto" w:fill="FFFFFF"/>
        </w:rPr>
      </w:pPr>
    </w:p>
    <w:p w14:paraId="14EE1318" w14:textId="77777777" w:rsidR="00FE1DF0" w:rsidRDefault="00FE1DF0">
      <w:pPr>
        <w:pStyle w:val="Standard"/>
        <w:widowControl w:val="0"/>
        <w:tabs>
          <w:tab w:val="left" w:pos="259"/>
        </w:tabs>
        <w:spacing w:after="0" w:line="240" w:lineRule="auto"/>
        <w:ind w:left="117" w:right="111"/>
        <w:jc w:val="both"/>
        <w:rPr>
          <w:rFonts w:hint="eastAsia"/>
          <w:shd w:val="clear" w:color="auto" w:fill="FFFFFF"/>
        </w:rPr>
      </w:pPr>
    </w:p>
    <w:p w14:paraId="0C5F4A33"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3EAE4F22"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rPr>
      </w:pPr>
      <w:r>
        <w:rPr>
          <w:rFonts w:ascii="Arial" w:hAnsi="Arial" w:cs="Arial"/>
          <w:b/>
          <w:bCs/>
          <w:color w:val="000000"/>
          <w:sz w:val="20"/>
          <w:szCs w:val="20"/>
        </w:rPr>
        <w:t>Contenu des plis et conditions de participation :</w:t>
      </w:r>
    </w:p>
    <w:p w14:paraId="401EA591"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rPr>
      </w:pPr>
    </w:p>
    <w:p w14:paraId="72C279D3" w14:textId="77777777" w:rsidR="00FE1DF0" w:rsidRDefault="00E1399F">
      <w:pPr>
        <w:pStyle w:val="Paragraphedeliste"/>
        <w:keepLines/>
        <w:widowControl w:val="0"/>
        <w:numPr>
          <w:ilvl w:val="0"/>
          <w:numId w:val="19"/>
        </w:numPr>
        <w:tabs>
          <w:tab w:val="left" w:pos="1112"/>
        </w:tabs>
        <w:spacing w:after="0" w:line="240" w:lineRule="auto"/>
        <w:ind w:left="720" w:right="111" w:firstLine="0"/>
        <w:jc w:val="both"/>
        <w:rPr>
          <w:rFonts w:hint="eastAsia"/>
        </w:rPr>
      </w:pPr>
      <w:r>
        <w:rPr>
          <w:rFonts w:ascii="Arial" w:hAnsi="Arial" w:cs="Arial"/>
          <w:b/>
          <w:color w:val="000000"/>
          <w:sz w:val="20"/>
          <w:szCs w:val="20"/>
          <w:u w:val="single"/>
        </w:rPr>
        <w:lastRenderedPageBreak/>
        <w:t>A l’appui de leur candidature</w:t>
      </w:r>
      <w:r>
        <w:rPr>
          <w:rFonts w:ascii="Arial" w:hAnsi="Arial" w:cs="Arial"/>
          <w:color w:val="000000"/>
          <w:sz w:val="20"/>
          <w:szCs w:val="20"/>
        </w:rPr>
        <w:t>, les candidats doivent fournir les documents suivants :</w:t>
      </w:r>
    </w:p>
    <w:p w14:paraId="29C87ECD"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rPr>
      </w:pPr>
    </w:p>
    <w:tbl>
      <w:tblPr>
        <w:tblW w:w="10060" w:type="dxa"/>
        <w:tblInd w:w="-295" w:type="dxa"/>
        <w:tblLayout w:type="fixed"/>
        <w:tblCellMar>
          <w:left w:w="0" w:type="dxa"/>
          <w:right w:w="0" w:type="dxa"/>
        </w:tblCellMar>
        <w:tblLook w:val="0000" w:firstRow="0" w:lastRow="0" w:firstColumn="0" w:lastColumn="0" w:noHBand="0" w:noVBand="0"/>
      </w:tblPr>
      <w:tblGrid>
        <w:gridCol w:w="3397"/>
        <w:gridCol w:w="6663"/>
      </w:tblGrid>
      <w:tr w:rsidR="00FE1DF0" w14:paraId="39E501AF" w14:textId="77777777">
        <w:trPr>
          <w:cantSplit/>
          <w:tblHeader/>
        </w:trPr>
        <w:tc>
          <w:tcPr>
            <w:tcW w:w="339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BB54EB9" w14:textId="77777777" w:rsidR="00FE1DF0" w:rsidRDefault="00E1399F">
            <w:pPr>
              <w:pStyle w:val="Standard"/>
              <w:keepLines/>
              <w:widowControl w:val="0"/>
              <w:spacing w:before="60" w:after="60" w:line="240" w:lineRule="auto"/>
              <w:ind w:left="108" w:right="103"/>
              <w:jc w:val="center"/>
              <w:rPr>
                <w:rFonts w:hint="eastAsia"/>
              </w:rPr>
            </w:pPr>
            <w:r>
              <w:rPr>
                <w:rFonts w:ascii="Arial" w:hAnsi="Arial" w:cs="Arial"/>
                <w:color w:val="FFFFFF"/>
                <w:sz w:val="20"/>
                <w:szCs w:val="20"/>
              </w:rPr>
              <w:t>Document</w:t>
            </w:r>
          </w:p>
        </w:tc>
        <w:tc>
          <w:tcPr>
            <w:tcW w:w="6663" w:type="dxa"/>
            <w:tcBorders>
              <w:top w:val="single" w:sz="8" w:space="0" w:color="D9D9D9"/>
              <w:left w:val="single" w:sz="8" w:space="0" w:color="D9D9D9"/>
              <w:bottom w:val="single" w:sz="8" w:space="0" w:color="D9D9D9"/>
              <w:right w:val="single" w:sz="8" w:space="0" w:color="D9D9D9"/>
            </w:tcBorders>
            <w:shd w:val="clear" w:color="auto" w:fill="595959"/>
          </w:tcPr>
          <w:p w14:paraId="4599D74A" w14:textId="77777777" w:rsidR="00FE1DF0" w:rsidRDefault="00E1399F">
            <w:pPr>
              <w:pStyle w:val="Standard"/>
              <w:keepLines/>
              <w:widowControl w:val="0"/>
              <w:spacing w:before="60" w:after="60" w:line="240" w:lineRule="auto"/>
              <w:ind w:left="113" w:right="101"/>
              <w:jc w:val="center"/>
              <w:rPr>
                <w:rFonts w:hint="eastAsia"/>
              </w:rPr>
            </w:pPr>
            <w:r>
              <w:rPr>
                <w:rFonts w:ascii="Arial" w:hAnsi="Arial" w:cs="Arial"/>
                <w:color w:val="FFFFFF"/>
                <w:sz w:val="20"/>
                <w:szCs w:val="20"/>
              </w:rPr>
              <w:t>Descriptif</w:t>
            </w:r>
          </w:p>
        </w:tc>
      </w:tr>
      <w:tr w:rsidR="00FE1DF0" w14:paraId="077DE8C8" w14:textId="77777777">
        <w:tc>
          <w:tcPr>
            <w:tcW w:w="10060" w:type="dxa"/>
            <w:gridSpan w:val="2"/>
            <w:tcBorders>
              <w:top w:val="single" w:sz="8" w:space="0" w:color="D9D9D9"/>
              <w:left w:val="single" w:sz="8" w:space="0" w:color="D9D9D9"/>
              <w:bottom w:val="single" w:sz="8" w:space="0" w:color="D9D9D9"/>
              <w:right w:val="single" w:sz="8" w:space="0" w:color="D9D9D9"/>
            </w:tcBorders>
            <w:shd w:val="clear" w:color="auto" w:fill="F2F2F2"/>
          </w:tcPr>
          <w:p w14:paraId="217E5B36" w14:textId="77777777" w:rsidR="00FE1DF0" w:rsidRDefault="00E1399F">
            <w:pPr>
              <w:pStyle w:val="Standard"/>
              <w:widowControl w:val="0"/>
              <w:spacing w:before="40" w:after="40" w:line="240" w:lineRule="auto"/>
              <w:ind w:left="108" w:right="101"/>
              <w:rPr>
                <w:rFonts w:hint="eastAsia"/>
              </w:rPr>
            </w:pPr>
            <w:r>
              <w:rPr>
                <w:rFonts w:ascii="Arial" w:hAnsi="Arial" w:cs="Arial"/>
                <w:b/>
                <w:bCs/>
                <w:color w:val="000000"/>
                <w:sz w:val="18"/>
                <w:szCs w:val="18"/>
              </w:rPr>
              <w:t>Situation juridique</w:t>
            </w:r>
          </w:p>
        </w:tc>
      </w:tr>
      <w:tr w:rsidR="00FE1DF0" w14:paraId="363AA5D0" w14:textId="77777777">
        <w:tc>
          <w:tcPr>
            <w:tcW w:w="3397" w:type="dxa"/>
            <w:tcBorders>
              <w:top w:val="single" w:sz="8" w:space="0" w:color="D9D9D9"/>
              <w:left w:val="single" w:sz="8" w:space="0" w:color="D9D9D9"/>
              <w:bottom w:val="single" w:sz="8" w:space="0" w:color="D9D9D9"/>
              <w:right w:val="single" w:sz="8" w:space="0" w:color="D9D9D9"/>
            </w:tcBorders>
            <w:shd w:val="clear" w:color="auto" w:fill="FFFFFF"/>
          </w:tcPr>
          <w:p w14:paraId="0458030C" w14:textId="77777777" w:rsidR="00FE1DF0" w:rsidRDefault="00E1399F">
            <w:pPr>
              <w:pStyle w:val="Standard"/>
              <w:widowControl w:val="0"/>
              <w:spacing w:before="60" w:after="60" w:line="240" w:lineRule="auto"/>
              <w:ind w:left="108" w:right="103"/>
              <w:rPr>
                <w:rFonts w:hint="eastAsia"/>
              </w:rPr>
            </w:pPr>
            <w:r>
              <w:rPr>
                <w:rFonts w:ascii="Arial" w:hAnsi="Arial" w:cs="Arial"/>
                <w:color w:val="000000"/>
                <w:sz w:val="18"/>
                <w:szCs w:val="18"/>
              </w:rPr>
              <w:t>Lettre de candidature (DC1)</w:t>
            </w:r>
          </w:p>
        </w:tc>
        <w:tc>
          <w:tcPr>
            <w:tcW w:w="6663" w:type="dxa"/>
            <w:tcBorders>
              <w:top w:val="single" w:sz="8" w:space="0" w:color="D9D9D9"/>
              <w:left w:val="single" w:sz="8" w:space="0" w:color="D9D9D9"/>
              <w:bottom w:val="single" w:sz="8" w:space="0" w:color="D9D9D9"/>
              <w:right w:val="single" w:sz="8" w:space="0" w:color="D9D9D9"/>
            </w:tcBorders>
            <w:shd w:val="clear" w:color="auto" w:fill="FFFFFF"/>
          </w:tcPr>
          <w:p w14:paraId="3F79944A" w14:textId="77777777" w:rsidR="00FE1DF0" w:rsidRDefault="00E1399F">
            <w:pPr>
              <w:pStyle w:val="Standard"/>
              <w:widowControl w:val="0"/>
              <w:spacing w:before="60" w:after="60" w:line="240" w:lineRule="auto"/>
              <w:ind w:left="113" w:right="101"/>
              <w:rPr>
                <w:rFonts w:hint="eastAsia"/>
              </w:rPr>
            </w:pPr>
            <w:r>
              <w:rPr>
                <w:rFonts w:ascii="Arial" w:hAnsi="Arial" w:cs="Arial"/>
                <w:i/>
                <w:iCs/>
                <w:color w:val="000000"/>
                <w:sz w:val="18"/>
                <w:szCs w:val="18"/>
              </w:rPr>
              <w:t>Lettre de candidature Habilitation du mandataire par ses cotraitants (DC1 disponible sur le site du Ministère de l'Economie)</w:t>
            </w:r>
          </w:p>
        </w:tc>
      </w:tr>
      <w:tr w:rsidR="00FE1DF0" w14:paraId="52ABF2DD" w14:textId="77777777">
        <w:tc>
          <w:tcPr>
            <w:tcW w:w="3397" w:type="dxa"/>
            <w:tcBorders>
              <w:top w:val="single" w:sz="8" w:space="0" w:color="D9D9D9"/>
              <w:left w:val="single" w:sz="8" w:space="0" w:color="D9D9D9"/>
              <w:bottom w:val="single" w:sz="8" w:space="0" w:color="D9D9D9"/>
              <w:right w:val="single" w:sz="8" w:space="0" w:color="D9D9D9"/>
            </w:tcBorders>
            <w:shd w:val="clear" w:color="auto" w:fill="FFFFFF"/>
          </w:tcPr>
          <w:p w14:paraId="02F7E89E" w14:textId="77777777" w:rsidR="00FE1DF0" w:rsidRDefault="00E1399F">
            <w:pPr>
              <w:pStyle w:val="Standard"/>
              <w:widowControl w:val="0"/>
              <w:spacing w:before="60" w:after="60" w:line="240" w:lineRule="auto"/>
              <w:ind w:left="108" w:right="103"/>
              <w:rPr>
                <w:rFonts w:hint="eastAsia"/>
              </w:rPr>
            </w:pPr>
            <w:r>
              <w:rPr>
                <w:rFonts w:ascii="Arial" w:hAnsi="Arial" w:cs="Arial"/>
                <w:color w:val="000000"/>
                <w:sz w:val="18"/>
                <w:szCs w:val="18"/>
              </w:rPr>
              <w:t>Déclaration du candidat (DC2)</w:t>
            </w:r>
          </w:p>
        </w:tc>
        <w:tc>
          <w:tcPr>
            <w:tcW w:w="6663" w:type="dxa"/>
            <w:tcBorders>
              <w:top w:val="single" w:sz="8" w:space="0" w:color="D9D9D9"/>
              <w:left w:val="single" w:sz="8" w:space="0" w:color="D9D9D9"/>
              <w:bottom w:val="single" w:sz="8" w:space="0" w:color="D9D9D9"/>
              <w:right w:val="single" w:sz="8" w:space="0" w:color="D9D9D9"/>
            </w:tcBorders>
            <w:shd w:val="clear" w:color="auto" w:fill="FFFFFF"/>
          </w:tcPr>
          <w:p w14:paraId="7BA3B6E2" w14:textId="77777777" w:rsidR="00FE1DF0" w:rsidRDefault="00E1399F">
            <w:pPr>
              <w:pStyle w:val="Standard"/>
              <w:widowControl w:val="0"/>
              <w:spacing w:before="60" w:after="60" w:line="240" w:lineRule="auto"/>
              <w:ind w:left="113" w:right="101"/>
              <w:rPr>
                <w:rFonts w:hint="eastAsia"/>
              </w:rPr>
            </w:pPr>
            <w:r>
              <w:rPr>
                <w:rFonts w:ascii="Arial" w:hAnsi="Arial" w:cs="Arial"/>
                <w:i/>
                <w:iCs/>
                <w:color w:val="000000"/>
                <w:sz w:val="18"/>
                <w:szCs w:val="18"/>
              </w:rPr>
              <w:t>Déclaration du candidat individuelle ou du membre du groupement (DC2 disponible sur le site du Ministère de l'Economie)</w:t>
            </w:r>
          </w:p>
        </w:tc>
      </w:tr>
      <w:tr w:rsidR="00FE1DF0" w14:paraId="0BD19C03" w14:textId="77777777">
        <w:tc>
          <w:tcPr>
            <w:tcW w:w="3397" w:type="dxa"/>
            <w:tcBorders>
              <w:top w:val="single" w:sz="8" w:space="0" w:color="D9D9D9"/>
              <w:left w:val="single" w:sz="8" w:space="0" w:color="D9D9D9"/>
              <w:bottom w:val="single" w:sz="8" w:space="0" w:color="D9D9D9"/>
              <w:right w:val="single" w:sz="8" w:space="0" w:color="D9D9D9"/>
            </w:tcBorders>
            <w:shd w:val="clear" w:color="auto" w:fill="FFFFFF"/>
          </w:tcPr>
          <w:p w14:paraId="2990F54F" w14:textId="77777777" w:rsidR="00FE1DF0" w:rsidRDefault="00E1399F">
            <w:pPr>
              <w:pStyle w:val="Standard"/>
              <w:widowControl w:val="0"/>
              <w:spacing w:before="60" w:after="60" w:line="240" w:lineRule="auto"/>
              <w:ind w:left="108" w:right="103"/>
              <w:rPr>
                <w:rFonts w:hint="eastAsia"/>
              </w:rPr>
            </w:pPr>
            <w:r>
              <w:rPr>
                <w:rFonts w:ascii="Arial" w:hAnsi="Arial" w:cs="Arial"/>
                <w:color w:val="000000"/>
                <w:sz w:val="18"/>
                <w:szCs w:val="18"/>
              </w:rPr>
              <w:t>Déclaration de sous-traitance (DC4), le cas échéant</w:t>
            </w:r>
          </w:p>
        </w:tc>
        <w:tc>
          <w:tcPr>
            <w:tcW w:w="6663" w:type="dxa"/>
            <w:tcBorders>
              <w:top w:val="single" w:sz="8" w:space="0" w:color="D9D9D9"/>
              <w:left w:val="single" w:sz="8" w:space="0" w:color="D9D9D9"/>
              <w:bottom w:val="single" w:sz="8" w:space="0" w:color="D9D9D9"/>
              <w:right w:val="single" w:sz="8" w:space="0" w:color="D9D9D9"/>
            </w:tcBorders>
            <w:shd w:val="clear" w:color="auto" w:fill="FFFFFF"/>
          </w:tcPr>
          <w:p w14:paraId="391F9631" w14:textId="77777777" w:rsidR="00FE1DF0" w:rsidRDefault="00E1399F">
            <w:pPr>
              <w:pStyle w:val="Standard"/>
              <w:widowControl w:val="0"/>
              <w:spacing w:before="60" w:after="60" w:line="240" w:lineRule="auto"/>
              <w:ind w:left="113" w:right="101"/>
              <w:rPr>
                <w:rFonts w:hint="eastAsia"/>
              </w:rPr>
            </w:pPr>
            <w:r>
              <w:rPr>
                <w:rFonts w:ascii="Arial" w:hAnsi="Arial" w:cs="Arial"/>
                <w:i/>
                <w:iCs/>
                <w:color w:val="000000"/>
                <w:sz w:val="18"/>
                <w:szCs w:val="18"/>
              </w:rPr>
              <w:t>Déclaration de sous-traitance qui peut être utilisé par les soumissionnaires ou titulaires de marchés publics pour présenter un sous-traitant (DC4 disponible sur le site du Ministère de l'Economie)</w:t>
            </w:r>
          </w:p>
        </w:tc>
      </w:tr>
      <w:tr w:rsidR="00FE1DF0" w14:paraId="021344EA" w14:textId="77777777">
        <w:tc>
          <w:tcPr>
            <w:tcW w:w="3397"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35ADA23" w14:textId="77777777" w:rsidR="00FE1DF0" w:rsidRDefault="00E1399F">
            <w:pPr>
              <w:pStyle w:val="Standard"/>
              <w:widowControl w:val="0"/>
              <w:spacing w:before="60" w:after="60" w:line="240" w:lineRule="auto"/>
              <w:ind w:left="108" w:right="103"/>
              <w:rPr>
                <w:rFonts w:hint="eastAsia"/>
              </w:rPr>
            </w:pPr>
            <w:r>
              <w:rPr>
                <w:rFonts w:ascii="Arial" w:hAnsi="Arial" w:cs="Arial"/>
                <w:color w:val="000000"/>
                <w:sz w:val="18"/>
                <w:szCs w:val="18"/>
              </w:rPr>
              <w:t>Références travaux</w:t>
            </w:r>
          </w:p>
        </w:tc>
        <w:tc>
          <w:tcPr>
            <w:tcW w:w="666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F6F2949" w14:textId="77777777" w:rsidR="00FE1DF0" w:rsidRDefault="00E1399F">
            <w:pPr>
              <w:pStyle w:val="Standard"/>
              <w:ind w:right="131"/>
              <w:jc w:val="both"/>
              <w:rPr>
                <w:rFonts w:hint="eastAsia"/>
              </w:rPr>
            </w:pPr>
            <w:r>
              <w:rPr>
                <w:rFonts w:ascii="Arial" w:hAnsi="Arial" w:cs="Arial"/>
                <w:color w:val="000000"/>
                <w:sz w:val="18"/>
                <w:szCs w:val="18"/>
              </w:rPr>
              <w:t>Entre 1 (au minimum) et 5 références similaires au projet en termes de taille, montant et complexité, exécutées au cours des cinq dernières années, assortie d'attestations de bonne exécution pour les travaux les plus importants.</w:t>
            </w:r>
          </w:p>
          <w:p w14:paraId="768FB4AD" w14:textId="77777777" w:rsidR="00FE1DF0" w:rsidRDefault="00E1399F">
            <w:pPr>
              <w:pStyle w:val="Standard"/>
              <w:ind w:right="131"/>
              <w:jc w:val="both"/>
              <w:rPr>
                <w:rFonts w:hint="eastAsia"/>
              </w:rPr>
            </w:pPr>
            <w:r>
              <w:rPr>
                <w:rFonts w:ascii="Arial" w:hAnsi="Arial" w:cs="Arial"/>
                <w:i/>
                <w:iCs/>
                <w:color w:val="000000"/>
                <w:sz w:val="18"/>
                <w:szCs w:val="18"/>
              </w:rPr>
              <w:t>Ces attestations indiquent le montant, la date et le lieu d'exécution des travaux et précisent s'ils ont été effectués selon les règles de l'art et menés régulièrement à bonne fin</w:t>
            </w:r>
          </w:p>
        </w:tc>
      </w:tr>
    </w:tbl>
    <w:p w14:paraId="3847866C"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2AFCA6AB" w14:textId="77777777" w:rsidR="00FE1DF0" w:rsidRDefault="00E1399F">
      <w:pPr>
        <w:pStyle w:val="Standard"/>
        <w:keepLines/>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 xml:space="preserve">Le référentiel QUALIBAT est ciblé comme socle commun d'appréciation des capacités. </w:t>
      </w:r>
      <w:r>
        <w:rPr>
          <w:rFonts w:ascii="Arial" w:hAnsi="Arial" w:cs="Arial"/>
          <w:b/>
          <w:bCs/>
          <w:color w:val="000000"/>
          <w:sz w:val="20"/>
          <w:szCs w:val="20"/>
          <w:shd w:val="clear" w:color="auto" w:fill="FFFFFF"/>
        </w:rPr>
        <w:t>Les certificats de qualifications professionnelles établis par des organismes indépendants suivants. Sont acceptés tous moyens de preuve équivalent ainsi que les certificats équivalents d'organismes établis dans d'autres Etats membres de l’Union Européenne.</w:t>
      </w:r>
    </w:p>
    <w:p w14:paraId="3992B8E6"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tbl>
      <w:tblPr>
        <w:tblW w:w="9493" w:type="dxa"/>
        <w:tblInd w:w="-108" w:type="dxa"/>
        <w:tblLayout w:type="fixed"/>
        <w:tblLook w:val="0000" w:firstRow="0" w:lastRow="0" w:firstColumn="0" w:lastColumn="0" w:noHBand="0" w:noVBand="0"/>
      </w:tblPr>
      <w:tblGrid>
        <w:gridCol w:w="2600"/>
        <w:gridCol w:w="4525"/>
        <w:gridCol w:w="1000"/>
        <w:gridCol w:w="1368"/>
      </w:tblGrid>
      <w:tr w:rsidR="00FE1DF0" w14:paraId="7C01338D" w14:textId="77777777">
        <w:tc>
          <w:tcPr>
            <w:tcW w:w="2600" w:type="dxa"/>
            <w:tcBorders>
              <w:top w:val="single" w:sz="4" w:space="0" w:color="AAAAAA"/>
              <w:left w:val="single" w:sz="4" w:space="0" w:color="AAAAAA"/>
              <w:bottom w:val="single" w:sz="4" w:space="0" w:color="AAAAAA"/>
              <w:right w:val="single" w:sz="4" w:space="0" w:color="AAAAAA"/>
            </w:tcBorders>
            <w:shd w:val="clear" w:color="auto" w:fill="1F4E79"/>
            <w:vAlign w:val="center"/>
          </w:tcPr>
          <w:p w14:paraId="4CCC3408"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b/>
                <w:bCs/>
                <w:color w:val="000000"/>
                <w:sz w:val="20"/>
                <w:szCs w:val="20"/>
              </w:rPr>
              <w:t>Lot</w:t>
            </w:r>
          </w:p>
        </w:tc>
        <w:tc>
          <w:tcPr>
            <w:tcW w:w="4525" w:type="dxa"/>
            <w:tcBorders>
              <w:top w:val="single" w:sz="4" w:space="0" w:color="AAAAAA"/>
              <w:left w:val="single" w:sz="4" w:space="0" w:color="AAAAAA"/>
              <w:bottom w:val="single" w:sz="4" w:space="0" w:color="AAAAAA"/>
              <w:right w:val="single" w:sz="4" w:space="0" w:color="AAAAAA"/>
            </w:tcBorders>
            <w:shd w:val="clear" w:color="auto" w:fill="1F4E79"/>
            <w:vAlign w:val="center"/>
          </w:tcPr>
          <w:p w14:paraId="50F50700"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b/>
                <w:bCs/>
                <w:color w:val="000000"/>
                <w:sz w:val="20"/>
                <w:szCs w:val="20"/>
              </w:rPr>
              <w:t>Qualification minimale (référentiel QUALIBAT)</w:t>
            </w:r>
          </w:p>
        </w:tc>
        <w:tc>
          <w:tcPr>
            <w:tcW w:w="1000" w:type="dxa"/>
            <w:tcBorders>
              <w:top w:val="single" w:sz="4" w:space="0" w:color="AAAAAA"/>
              <w:left w:val="single" w:sz="4" w:space="0" w:color="AAAAAA"/>
              <w:bottom w:val="single" w:sz="4" w:space="0" w:color="AAAAAA"/>
              <w:right w:val="single" w:sz="4" w:space="0" w:color="AAAAAA"/>
            </w:tcBorders>
            <w:shd w:val="clear" w:color="auto" w:fill="1F4E79"/>
            <w:vAlign w:val="center"/>
          </w:tcPr>
          <w:p w14:paraId="631A5AA6"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b/>
                <w:bCs/>
                <w:color w:val="000000"/>
                <w:sz w:val="20"/>
                <w:szCs w:val="20"/>
              </w:rPr>
              <w:t>CA min.</w:t>
            </w:r>
          </w:p>
        </w:tc>
        <w:tc>
          <w:tcPr>
            <w:tcW w:w="1368" w:type="dxa"/>
            <w:tcBorders>
              <w:top w:val="single" w:sz="4" w:space="0" w:color="AAAAAA"/>
              <w:left w:val="single" w:sz="4" w:space="0" w:color="AAAAAA"/>
              <w:bottom w:val="single" w:sz="4" w:space="0" w:color="AAAAAA"/>
              <w:right w:val="single" w:sz="4" w:space="0" w:color="AAAAAA"/>
            </w:tcBorders>
            <w:shd w:val="clear" w:color="auto" w:fill="1F4E79"/>
            <w:vAlign w:val="center"/>
          </w:tcPr>
          <w:p w14:paraId="05146F5F"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b/>
                <w:bCs/>
                <w:color w:val="000000"/>
                <w:sz w:val="20"/>
                <w:szCs w:val="20"/>
              </w:rPr>
              <w:t>EFF min.</w:t>
            </w:r>
          </w:p>
        </w:tc>
      </w:tr>
      <w:tr w:rsidR="00FE1DF0" w14:paraId="1A64EE81" w14:textId="77777777">
        <w:tc>
          <w:tcPr>
            <w:tcW w:w="26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55239039"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01 – Gros Œuvre</w:t>
            </w:r>
          </w:p>
        </w:tc>
        <w:tc>
          <w:tcPr>
            <w:tcW w:w="4525"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5060B90B"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2111 – Maçonnerie et ouvrage en béton armé (technicité courante)</w:t>
            </w:r>
          </w:p>
        </w:tc>
        <w:tc>
          <w:tcPr>
            <w:tcW w:w="10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29A7A8C6"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CA4</w:t>
            </w:r>
          </w:p>
        </w:tc>
        <w:tc>
          <w:tcPr>
            <w:tcW w:w="1368"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20027C3D"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EFF2</w:t>
            </w:r>
          </w:p>
        </w:tc>
      </w:tr>
      <w:tr w:rsidR="00FE1DF0" w14:paraId="01A44C58" w14:textId="77777777">
        <w:tc>
          <w:tcPr>
            <w:tcW w:w="26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2D1E8323"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02 – Ossature / Charpente bois</w:t>
            </w:r>
          </w:p>
        </w:tc>
        <w:tc>
          <w:tcPr>
            <w:tcW w:w="4525"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6999901"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2351 – Fourniture et pose bâtiments à ossature bois (technicité courante)</w:t>
            </w:r>
          </w:p>
        </w:tc>
        <w:tc>
          <w:tcPr>
            <w:tcW w:w="10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4D8F732F"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CA3</w:t>
            </w:r>
          </w:p>
        </w:tc>
        <w:tc>
          <w:tcPr>
            <w:tcW w:w="1368"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1342B848"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EFF2</w:t>
            </w:r>
          </w:p>
        </w:tc>
      </w:tr>
      <w:tr w:rsidR="00FE1DF0" w14:paraId="752E49D5" w14:textId="77777777">
        <w:tc>
          <w:tcPr>
            <w:tcW w:w="26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17118990"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03 – Couverture / Étanchéité</w:t>
            </w:r>
          </w:p>
        </w:tc>
        <w:tc>
          <w:tcPr>
            <w:tcW w:w="4525"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16D718A2"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3181 – Couvertures en plaques nervurées ou ondulées</w:t>
            </w:r>
          </w:p>
        </w:tc>
        <w:tc>
          <w:tcPr>
            <w:tcW w:w="10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54D8AA1F"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CA3</w:t>
            </w:r>
          </w:p>
        </w:tc>
        <w:tc>
          <w:tcPr>
            <w:tcW w:w="1368"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1703505A"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EFF2</w:t>
            </w:r>
          </w:p>
        </w:tc>
      </w:tr>
      <w:tr w:rsidR="00FE1DF0" w14:paraId="1909B4E0" w14:textId="77777777">
        <w:tc>
          <w:tcPr>
            <w:tcW w:w="26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BD378FA"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04 – Bardages / Façades</w:t>
            </w:r>
          </w:p>
        </w:tc>
        <w:tc>
          <w:tcPr>
            <w:tcW w:w="4525"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4AD4C764"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3811 – Parois en bardages simples (technicité courante)</w:t>
            </w:r>
          </w:p>
        </w:tc>
        <w:tc>
          <w:tcPr>
            <w:tcW w:w="10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5FF2267C"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CA2</w:t>
            </w:r>
          </w:p>
        </w:tc>
        <w:tc>
          <w:tcPr>
            <w:tcW w:w="1368"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67BB571C"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EFF2</w:t>
            </w:r>
          </w:p>
        </w:tc>
      </w:tr>
      <w:tr w:rsidR="00FE1DF0" w14:paraId="3AE50058" w14:textId="77777777">
        <w:tc>
          <w:tcPr>
            <w:tcW w:w="26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246CB7D7"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05 – Menuiseries ext. / Serrurerie</w:t>
            </w:r>
          </w:p>
        </w:tc>
        <w:tc>
          <w:tcPr>
            <w:tcW w:w="4525"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79D56B00"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3521 – Menuiseries extérieures aluminium (technicité courante)</w:t>
            </w:r>
          </w:p>
        </w:tc>
        <w:tc>
          <w:tcPr>
            <w:tcW w:w="10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0B76CC2D"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CA2</w:t>
            </w:r>
          </w:p>
        </w:tc>
        <w:tc>
          <w:tcPr>
            <w:tcW w:w="1368"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6783807C"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EFF2</w:t>
            </w:r>
          </w:p>
        </w:tc>
      </w:tr>
      <w:tr w:rsidR="00FE1DF0" w14:paraId="45A58A24" w14:textId="77777777">
        <w:tc>
          <w:tcPr>
            <w:tcW w:w="26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7E4B0E00"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06 – Plâtrerie / Faux plafonds</w:t>
            </w:r>
          </w:p>
        </w:tc>
        <w:tc>
          <w:tcPr>
            <w:tcW w:w="4525"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206514A2"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4132 – Plaques de plâtre (technicité confirmée)</w:t>
            </w:r>
          </w:p>
        </w:tc>
        <w:tc>
          <w:tcPr>
            <w:tcW w:w="10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60D53D6D"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CA2</w:t>
            </w:r>
          </w:p>
        </w:tc>
        <w:tc>
          <w:tcPr>
            <w:tcW w:w="1368"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6FA26FBD"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EFF2</w:t>
            </w:r>
          </w:p>
        </w:tc>
      </w:tr>
      <w:tr w:rsidR="00FE1DF0" w14:paraId="3991D276" w14:textId="77777777">
        <w:tc>
          <w:tcPr>
            <w:tcW w:w="26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7AB150E1"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07 – Menuiseries intérieures</w:t>
            </w:r>
          </w:p>
        </w:tc>
        <w:tc>
          <w:tcPr>
            <w:tcW w:w="4525"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7F78C4B7"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4312 – Menuiserie intérieure bois</w:t>
            </w:r>
          </w:p>
        </w:tc>
        <w:tc>
          <w:tcPr>
            <w:tcW w:w="10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571F9FC8"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CA1</w:t>
            </w:r>
          </w:p>
        </w:tc>
        <w:tc>
          <w:tcPr>
            <w:tcW w:w="1368"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7341ACDF"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EFF1</w:t>
            </w:r>
          </w:p>
        </w:tc>
      </w:tr>
      <w:tr w:rsidR="00FE1DF0" w14:paraId="2438B094" w14:textId="77777777">
        <w:tc>
          <w:tcPr>
            <w:tcW w:w="26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2A43BEA1"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08 – Carrelages / Faïences</w:t>
            </w:r>
          </w:p>
        </w:tc>
        <w:tc>
          <w:tcPr>
            <w:tcW w:w="4525"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3F4DE17"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6311 – Carrelages / revêtements (technicité courante)</w:t>
            </w:r>
          </w:p>
        </w:tc>
        <w:tc>
          <w:tcPr>
            <w:tcW w:w="10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63F8C34A"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CA1</w:t>
            </w:r>
          </w:p>
        </w:tc>
        <w:tc>
          <w:tcPr>
            <w:tcW w:w="1368"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5968CACB"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EFF1</w:t>
            </w:r>
          </w:p>
        </w:tc>
      </w:tr>
      <w:tr w:rsidR="00FE1DF0" w14:paraId="6EC49FA5" w14:textId="77777777">
        <w:tc>
          <w:tcPr>
            <w:tcW w:w="26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2DDAE7A5"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09 – Revêtements sols souples</w:t>
            </w:r>
          </w:p>
        </w:tc>
        <w:tc>
          <w:tcPr>
            <w:tcW w:w="4525"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41F58287"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6222 – Revêtements résilients PVC (technicité confirmée)</w:t>
            </w:r>
          </w:p>
        </w:tc>
        <w:tc>
          <w:tcPr>
            <w:tcW w:w="10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029D49DE"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CA1</w:t>
            </w:r>
          </w:p>
        </w:tc>
        <w:tc>
          <w:tcPr>
            <w:tcW w:w="1368"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67276E70"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EFF1</w:t>
            </w:r>
          </w:p>
        </w:tc>
      </w:tr>
      <w:tr w:rsidR="00FE1DF0" w14:paraId="0CF76862" w14:textId="77777777">
        <w:tc>
          <w:tcPr>
            <w:tcW w:w="26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82D6F70"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10 – Peintures / Signalétique</w:t>
            </w:r>
          </w:p>
        </w:tc>
        <w:tc>
          <w:tcPr>
            <w:tcW w:w="4525"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5218BDC7"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6111 – Peintures et ravalement (technicité courante)</w:t>
            </w:r>
          </w:p>
        </w:tc>
        <w:tc>
          <w:tcPr>
            <w:tcW w:w="10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1A356DF0"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CA1</w:t>
            </w:r>
          </w:p>
        </w:tc>
        <w:tc>
          <w:tcPr>
            <w:tcW w:w="1368"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EC74038"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EFF1</w:t>
            </w:r>
          </w:p>
        </w:tc>
      </w:tr>
      <w:tr w:rsidR="00FE1DF0" w14:paraId="05DD1C9E" w14:textId="77777777">
        <w:tc>
          <w:tcPr>
            <w:tcW w:w="26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0A6C2862"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11 – Chauffage / Ventilation / Plomberie</w:t>
            </w:r>
          </w:p>
        </w:tc>
        <w:tc>
          <w:tcPr>
            <w:tcW w:w="4525"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7255F497"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5231 – Pompe à chaleur tertiaire &lt; 1 000 m²</w:t>
            </w:r>
          </w:p>
        </w:tc>
        <w:tc>
          <w:tcPr>
            <w:tcW w:w="10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66953F83"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CA3</w:t>
            </w:r>
          </w:p>
        </w:tc>
        <w:tc>
          <w:tcPr>
            <w:tcW w:w="1368"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06B26BC5"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EFF2</w:t>
            </w:r>
          </w:p>
        </w:tc>
      </w:tr>
      <w:tr w:rsidR="00FE1DF0" w14:paraId="0B8B3C7C" w14:textId="77777777">
        <w:tc>
          <w:tcPr>
            <w:tcW w:w="26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E9F87C8"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12 – Électricité</w:t>
            </w:r>
          </w:p>
        </w:tc>
        <w:tc>
          <w:tcPr>
            <w:tcW w:w="4525"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1928C7D8"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5912 – Installations photovoltaïques ≤ 250 kVA (technicité confirmée)</w:t>
            </w:r>
          </w:p>
        </w:tc>
        <w:tc>
          <w:tcPr>
            <w:tcW w:w="10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4C87682F"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CA3</w:t>
            </w:r>
          </w:p>
        </w:tc>
        <w:tc>
          <w:tcPr>
            <w:tcW w:w="1368"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1B4AE31"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EFF2</w:t>
            </w:r>
          </w:p>
        </w:tc>
      </w:tr>
      <w:tr w:rsidR="00FE1DF0" w14:paraId="7435DE04" w14:textId="77777777">
        <w:tc>
          <w:tcPr>
            <w:tcW w:w="26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779C1ABE"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13 – VRD / Espaces verts</w:t>
            </w:r>
          </w:p>
        </w:tc>
        <w:tc>
          <w:tcPr>
            <w:tcW w:w="4525"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3ABAD69D"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1321 – Canalisations d'assainissement (technicité courante)</w:t>
            </w:r>
          </w:p>
        </w:tc>
        <w:tc>
          <w:tcPr>
            <w:tcW w:w="1000"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2CC80972"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CA3</w:t>
            </w:r>
          </w:p>
        </w:tc>
        <w:tc>
          <w:tcPr>
            <w:tcW w:w="1368" w:type="dxa"/>
            <w:tcBorders>
              <w:top w:val="single" w:sz="4" w:space="0" w:color="AAAAAA"/>
              <w:left w:val="single" w:sz="4" w:space="0" w:color="AAAAAA"/>
              <w:bottom w:val="single" w:sz="4" w:space="0" w:color="AAAAAA"/>
              <w:right w:val="single" w:sz="4" w:space="0" w:color="AAAAAA"/>
            </w:tcBorders>
            <w:shd w:val="clear" w:color="auto" w:fill="EAF2FA"/>
            <w:vAlign w:val="center"/>
          </w:tcPr>
          <w:p w14:paraId="111F2E0A"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EFF2</w:t>
            </w:r>
          </w:p>
        </w:tc>
      </w:tr>
      <w:tr w:rsidR="00FE1DF0" w14:paraId="42F7462E" w14:textId="77777777">
        <w:tc>
          <w:tcPr>
            <w:tcW w:w="26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51933BFC"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Lot 14 – Démolition / Désamiantage</w:t>
            </w:r>
          </w:p>
        </w:tc>
        <w:tc>
          <w:tcPr>
            <w:tcW w:w="4525"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18710831"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1552 – Travaux de désamiantage</w:t>
            </w:r>
          </w:p>
        </w:tc>
        <w:tc>
          <w:tcPr>
            <w:tcW w:w="1000"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43540AE1"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CA2</w:t>
            </w:r>
          </w:p>
        </w:tc>
        <w:tc>
          <w:tcPr>
            <w:tcW w:w="1368"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A3233BB"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EFF2</w:t>
            </w:r>
          </w:p>
        </w:tc>
      </w:tr>
    </w:tbl>
    <w:p w14:paraId="234C23DC"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shd w:val="clear" w:color="auto" w:fill="FFFFFF"/>
        </w:rPr>
      </w:pPr>
    </w:p>
    <w:p w14:paraId="3B087DE6" w14:textId="77777777" w:rsidR="00FE1DF0" w:rsidRDefault="00E1399F">
      <w:pPr>
        <w:pStyle w:val="Standard"/>
        <w:keepLines/>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 xml:space="preserve">CA1 : &lt; 225 K€  |  CA2 : 225–450 K€  |  CA3 : 450–900 K€  |  CA4 : 900 K€–1,35 M€     </w:t>
      </w:r>
    </w:p>
    <w:p w14:paraId="4FD2A543"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shd w:val="clear" w:color="auto" w:fill="FFFFFF"/>
        </w:rPr>
      </w:pPr>
    </w:p>
    <w:p w14:paraId="5F1AEAD5" w14:textId="77777777" w:rsidR="00FE1DF0" w:rsidRDefault="00E1399F">
      <w:pPr>
        <w:pStyle w:val="Standard"/>
        <w:keepLines/>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EFF1 : 1–5 salariés  |  EFF2 : 6–20 salariés  |  EFF3 : 21–50 salariés</w:t>
      </w:r>
    </w:p>
    <w:p w14:paraId="26AFD202"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shd w:val="clear" w:color="auto" w:fill="FFFFFF"/>
        </w:rPr>
      </w:pPr>
    </w:p>
    <w:p w14:paraId="42186E65"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3E4FE019"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1954FCE5"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6C76A08D"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1DFA2661"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209F131C"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11ACD1AC"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2DF46550"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En outre, pour chaque sous-traitant mentionné dans l'offre, le candidat devra joindre :</w:t>
      </w:r>
    </w:p>
    <w:p w14:paraId="13DF7FE3"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  les capacités professionnelles et financières du sous-traitant ;</w:t>
      </w:r>
    </w:p>
    <w:p w14:paraId="0039E86F"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 une déclaration du sous-traitant indiquant qu'il ne tombe pas sous le coup d'une interdiction d'accéder aux marchés publics.</w:t>
      </w:r>
    </w:p>
    <w:p w14:paraId="489689F2"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5236D56B" w14:textId="77777777" w:rsidR="00FE1DF0" w:rsidRDefault="00E1399F">
      <w:pPr>
        <w:pStyle w:val="Paragraphedeliste"/>
        <w:keepLines/>
        <w:widowControl w:val="0"/>
        <w:numPr>
          <w:ilvl w:val="0"/>
          <w:numId w:val="15"/>
        </w:numPr>
        <w:tabs>
          <w:tab w:val="left" w:pos="1112"/>
        </w:tabs>
        <w:spacing w:after="0" w:line="240" w:lineRule="auto"/>
        <w:ind w:left="720" w:right="111" w:firstLine="0"/>
        <w:jc w:val="both"/>
        <w:rPr>
          <w:rFonts w:hint="eastAsia"/>
        </w:rPr>
      </w:pPr>
      <w:r>
        <w:rPr>
          <w:rFonts w:ascii="Arial" w:hAnsi="Arial" w:cs="Arial"/>
          <w:b/>
          <w:color w:val="000000"/>
          <w:sz w:val="20"/>
          <w:szCs w:val="20"/>
        </w:rPr>
        <w:t>L’offre des candidats</w:t>
      </w:r>
      <w:r>
        <w:rPr>
          <w:rFonts w:ascii="Arial" w:hAnsi="Arial" w:cs="Arial"/>
          <w:color w:val="000000"/>
          <w:sz w:val="20"/>
          <w:szCs w:val="20"/>
        </w:rPr>
        <w:t xml:space="preserve"> est composée des documents suivants :</w:t>
      </w:r>
    </w:p>
    <w:p w14:paraId="1CA63D32"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3"/>
        <w:gridCol w:w="6674"/>
      </w:tblGrid>
      <w:tr w:rsidR="00FE1DF0" w14:paraId="02657C85" w14:textId="77777777">
        <w:trPr>
          <w:cantSplit/>
          <w:tblHeader/>
        </w:trPr>
        <w:tc>
          <w:tcPr>
            <w:tcW w:w="307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0865A0B" w14:textId="77777777" w:rsidR="00FE1DF0" w:rsidRDefault="00E1399F">
            <w:pPr>
              <w:pStyle w:val="Standard"/>
              <w:keepLines/>
              <w:widowControl w:val="0"/>
              <w:spacing w:before="60" w:after="60" w:line="240" w:lineRule="auto"/>
              <w:ind w:left="108" w:right="92"/>
              <w:jc w:val="center"/>
              <w:rPr>
                <w:rFonts w:hint="eastAsia"/>
              </w:rPr>
            </w:pPr>
            <w:r>
              <w:rPr>
                <w:rFonts w:ascii="Arial" w:hAnsi="Arial" w:cs="Arial"/>
                <w:color w:val="FFFFFF"/>
                <w:sz w:val="20"/>
                <w:szCs w:val="20"/>
              </w:rPr>
              <w:t>Document</w:t>
            </w:r>
          </w:p>
        </w:tc>
        <w:tc>
          <w:tcPr>
            <w:tcW w:w="6674" w:type="dxa"/>
            <w:tcBorders>
              <w:top w:val="single" w:sz="8" w:space="0" w:color="D9D9D9"/>
              <w:left w:val="single" w:sz="8" w:space="0" w:color="D9D9D9"/>
              <w:bottom w:val="single" w:sz="8" w:space="0" w:color="D9D9D9"/>
              <w:right w:val="single" w:sz="8" w:space="0" w:color="D9D9D9"/>
            </w:tcBorders>
            <w:shd w:val="clear" w:color="auto" w:fill="595959"/>
          </w:tcPr>
          <w:p w14:paraId="2D391849" w14:textId="77777777" w:rsidR="00FE1DF0" w:rsidRDefault="00E1399F">
            <w:pPr>
              <w:pStyle w:val="Standard"/>
              <w:keepLines/>
              <w:widowControl w:val="0"/>
              <w:spacing w:before="60" w:after="60" w:line="240" w:lineRule="auto"/>
              <w:ind w:left="124" w:right="81"/>
              <w:jc w:val="center"/>
              <w:rPr>
                <w:rFonts w:hint="eastAsia"/>
              </w:rPr>
            </w:pPr>
            <w:r>
              <w:rPr>
                <w:rFonts w:ascii="Arial" w:hAnsi="Arial" w:cs="Arial"/>
                <w:color w:val="FFFFFF"/>
                <w:sz w:val="20"/>
                <w:szCs w:val="20"/>
              </w:rPr>
              <w:t>Descriptif</w:t>
            </w:r>
          </w:p>
        </w:tc>
      </w:tr>
      <w:tr w:rsidR="00FE1DF0" w14:paraId="04973D5A" w14:textId="77777777">
        <w:tc>
          <w:tcPr>
            <w:tcW w:w="3073" w:type="dxa"/>
            <w:tcBorders>
              <w:top w:val="single" w:sz="8" w:space="0" w:color="D9D9D9"/>
              <w:left w:val="single" w:sz="8" w:space="0" w:color="D9D9D9"/>
              <w:bottom w:val="single" w:sz="8" w:space="0" w:color="D9D9D9"/>
              <w:right w:val="single" w:sz="8" w:space="0" w:color="D9D9D9"/>
            </w:tcBorders>
            <w:shd w:val="clear" w:color="auto" w:fill="FFFFFF"/>
          </w:tcPr>
          <w:p w14:paraId="0A669F2F" w14:textId="77777777" w:rsidR="00FE1DF0" w:rsidRDefault="00E1399F">
            <w:pPr>
              <w:pStyle w:val="Standard"/>
              <w:widowControl w:val="0"/>
              <w:spacing w:before="60" w:after="60" w:line="240" w:lineRule="auto"/>
              <w:ind w:left="108" w:right="103"/>
              <w:rPr>
                <w:rFonts w:hint="eastAsia"/>
              </w:rPr>
            </w:pPr>
            <w:r>
              <w:rPr>
                <w:rFonts w:ascii="Arial" w:hAnsi="Arial" w:cs="Arial"/>
                <w:i/>
                <w:iCs/>
                <w:sz w:val="18"/>
                <w:szCs w:val="18"/>
              </w:rPr>
              <w:t>DPGF</w:t>
            </w:r>
          </w:p>
        </w:tc>
        <w:tc>
          <w:tcPr>
            <w:tcW w:w="6674" w:type="dxa"/>
            <w:tcBorders>
              <w:top w:val="single" w:sz="8" w:space="0" w:color="D9D9D9"/>
              <w:left w:val="single" w:sz="8" w:space="0" w:color="D9D9D9"/>
              <w:bottom w:val="single" w:sz="8" w:space="0" w:color="D9D9D9"/>
              <w:right w:val="single" w:sz="8" w:space="0" w:color="D9D9D9"/>
            </w:tcBorders>
            <w:shd w:val="clear" w:color="auto" w:fill="FFFFFF"/>
          </w:tcPr>
          <w:p w14:paraId="1DF58FA4" w14:textId="77777777" w:rsidR="00FE1DF0" w:rsidRDefault="00E1399F">
            <w:pPr>
              <w:pStyle w:val="Standard"/>
              <w:widowControl w:val="0"/>
              <w:spacing w:before="60" w:after="60" w:line="240" w:lineRule="auto"/>
              <w:ind w:left="113" w:right="101"/>
              <w:rPr>
                <w:rFonts w:hint="eastAsia"/>
              </w:rPr>
            </w:pPr>
            <w:r>
              <w:rPr>
                <w:rFonts w:ascii="Arial" w:hAnsi="Arial" w:cs="Arial"/>
                <w:i/>
                <w:iCs/>
                <w:sz w:val="18"/>
                <w:szCs w:val="18"/>
              </w:rPr>
              <w:t>Décomposition du prix global et forfaitaire (DPGF), dûment complétée</w:t>
            </w:r>
          </w:p>
          <w:p w14:paraId="70944E92" w14:textId="77777777" w:rsidR="00FE1DF0" w:rsidRDefault="00E1399F">
            <w:pPr>
              <w:pStyle w:val="Standard"/>
              <w:widowControl w:val="0"/>
              <w:spacing w:before="60" w:after="60" w:line="240" w:lineRule="auto"/>
              <w:ind w:left="113" w:right="101"/>
              <w:rPr>
                <w:rFonts w:hint="eastAsia"/>
              </w:rPr>
            </w:pPr>
            <w:r>
              <w:rPr>
                <w:rFonts w:ascii="Arial" w:hAnsi="Arial" w:cs="Arial"/>
                <w:i/>
                <w:iCs/>
                <w:sz w:val="18"/>
                <w:szCs w:val="18"/>
              </w:rPr>
              <w:t>Elle sera fournie obligatoirement par le soumissionnaire au format Excel® ou compatible et sans modification de la mise en page.</w:t>
            </w:r>
          </w:p>
        </w:tc>
      </w:tr>
      <w:tr w:rsidR="00FE1DF0" w14:paraId="4F8364D4" w14:textId="77777777">
        <w:tc>
          <w:tcPr>
            <w:tcW w:w="3073" w:type="dxa"/>
            <w:tcBorders>
              <w:top w:val="single" w:sz="8" w:space="0" w:color="D9D9D9"/>
              <w:left w:val="single" w:sz="8" w:space="0" w:color="D9D9D9"/>
              <w:bottom w:val="single" w:sz="8" w:space="0" w:color="D9D9D9"/>
              <w:right w:val="single" w:sz="8" w:space="0" w:color="D9D9D9"/>
            </w:tcBorders>
            <w:shd w:val="clear" w:color="auto" w:fill="FFFFFF"/>
          </w:tcPr>
          <w:p w14:paraId="39195CC5" w14:textId="77777777" w:rsidR="00FE1DF0" w:rsidRDefault="00E1399F">
            <w:pPr>
              <w:pStyle w:val="Standard"/>
              <w:widowControl w:val="0"/>
              <w:spacing w:before="60" w:after="60" w:line="240" w:lineRule="auto"/>
              <w:ind w:left="108" w:right="103"/>
              <w:rPr>
                <w:rFonts w:hint="eastAsia"/>
              </w:rPr>
            </w:pPr>
            <w:r>
              <w:rPr>
                <w:rFonts w:ascii="Arial" w:hAnsi="Arial" w:cs="Arial"/>
                <w:i/>
                <w:iCs/>
                <w:sz w:val="18"/>
                <w:szCs w:val="18"/>
              </w:rPr>
              <w:t>Mémoire technique</w:t>
            </w:r>
          </w:p>
        </w:tc>
        <w:tc>
          <w:tcPr>
            <w:tcW w:w="6674" w:type="dxa"/>
            <w:tcBorders>
              <w:top w:val="single" w:sz="8" w:space="0" w:color="D9D9D9"/>
              <w:left w:val="single" w:sz="8" w:space="0" w:color="D9D9D9"/>
              <w:bottom w:val="single" w:sz="8" w:space="0" w:color="D9D9D9"/>
              <w:right w:val="single" w:sz="8" w:space="0" w:color="D9D9D9"/>
            </w:tcBorders>
            <w:shd w:val="clear" w:color="auto" w:fill="FFFFFF"/>
          </w:tcPr>
          <w:p w14:paraId="1D08B873" w14:textId="77777777" w:rsidR="00FE1DF0" w:rsidRDefault="00E1399F">
            <w:pPr>
              <w:pStyle w:val="Standard"/>
              <w:widowControl w:val="0"/>
              <w:spacing w:before="60" w:after="60" w:line="240" w:lineRule="auto"/>
              <w:ind w:right="101"/>
              <w:rPr>
                <w:rFonts w:hint="eastAsia"/>
              </w:rPr>
            </w:pPr>
            <w:r>
              <w:rPr>
                <w:rFonts w:ascii="Arial" w:hAnsi="Arial" w:cs="Arial"/>
                <w:i/>
                <w:iCs/>
                <w:sz w:val="18"/>
                <w:szCs w:val="18"/>
              </w:rPr>
              <w:t>Mémoire technique détaillant :</w:t>
            </w:r>
          </w:p>
          <w:p w14:paraId="7298E72B" w14:textId="77777777" w:rsidR="00FE1DF0" w:rsidRDefault="00E1399F">
            <w:pPr>
              <w:pStyle w:val="Standard"/>
              <w:widowControl w:val="0"/>
              <w:spacing w:before="60" w:after="60" w:line="240" w:lineRule="auto"/>
              <w:ind w:right="101"/>
              <w:rPr>
                <w:rFonts w:hint="eastAsia"/>
              </w:rPr>
            </w:pPr>
            <w:r>
              <w:rPr>
                <w:rFonts w:ascii="Arial" w:hAnsi="Arial" w:cs="Arial"/>
                <w:i/>
                <w:iCs/>
                <w:sz w:val="18"/>
                <w:szCs w:val="18"/>
              </w:rPr>
              <w:t>*Présentation des moyens humains dédiés au chantier – Note sur le respect de la clause d'insertion si le lot est concerné</w:t>
            </w:r>
          </w:p>
          <w:p w14:paraId="6EE96331" w14:textId="77777777" w:rsidR="00FE1DF0" w:rsidRDefault="00E1399F">
            <w:pPr>
              <w:pStyle w:val="Standard"/>
              <w:widowControl w:val="0"/>
              <w:spacing w:before="60" w:after="60" w:line="240" w:lineRule="auto"/>
              <w:ind w:right="101"/>
              <w:rPr>
                <w:rFonts w:hint="eastAsia"/>
              </w:rPr>
            </w:pPr>
            <w:r>
              <w:rPr>
                <w:rFonts w:ascii="Arial" w:hAnsi="Arial" w:cs="Arial"/>
                <w:i/>
                <w:iCs/>
                <w:sz w:val="18"/>
                <w:szCs w:val="18"/>
              </w:rPr>
              <w:t>*Présentation des moyens matériels et techniques dédiés au chantier</w:t>
            </w:r>
          </w:p>
          <w:p w14:paraId="0A8F3156" w14:textId="77777777" w:rsidR="00FE1DF0" w:rsidRDefault="00E1399F">
            <w:pPr>
              <w:pStyle w:val="Standard"/>
              <w:widowControl w:val="0"/>
              <w:spacing w:before="60" w:after="60" w:line="240" w:lineRule="auto"/>
              <w:ind w:right="101"/>
              <w:rPr>
                <w:rFonts w:hint="eastAsia"/>
              </w:rPr>
            </w:pPr>
            <w:r>
              <w:rPr>
                <w:rFonts w:ascii="Arial" w:hAnsi="Arial" w:cs="Arial"/>
                <w:i/>
                <w:iCs/>
                <w:sz w:val="18"/>
                <w:szCs w:val="18"/>
              </w:rPr>
              <w:t>*Compréhension du projet, respect du délai et du planning – enjeux du marché, organisation interne, suivi et respect du planning, continuité des travaux en site occupé</w:t>
            </w:r>
          </w:p>
          <w:p w14:paraId="32645E53" w14:textId="77777777" w:rsidR="00FE1DF0" w:rsidRDefault="00E1399F">
            <w:pPr>
              <w:pStyle w:val="Standard"/>
              <w:widowControl w:val="0"/>
              <w:spacing w:before="60" w:after="60" w:line="240" w:lineRule="auto"/>
              <w:ind w:right="101"/>
              <w:rPr>
                <w:rFonts w:hint="eastAsia"/>
              </w:rPr>
            </w:pPr>
            <w:r>
              <w:rPr>
                <w:rFonts w:ascii="Arial" w:hAnsi="Arial" w:cs="Arial"/>
                <w:i/>
                <w:iCs/>
                <w:sz w:val="18"/>
                <w:szCs w:val="18"/>
              </w:rPr>
              <w:t>*Levée de réserves et en GPA : organisation interne de l’entreprise (interlocuteur à contacter, moyens mis en œuvre,…)</w:t>
            </w:r>
          </w:p>
        </w:tc>
      </w:tr>
      <w:tr w:rsidR="00FE1DF0" w14:paraId="5FD49515" w14:textId="77777777">
        <w:tc>
          <w:tcPr>
            <w:tcW w:w="307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7EBFE836" w14:textId="77777777" w:rsidR="00FE1DF0" w:rsidRDefault="00E1399F">
            <w:pPr>
              <w:pStyle w:val="Standard"/>
              <w:widowControl w:val="0"/>
              <w:spacing w:before="60" w:after="60" w:line="240" w:lineRule="auto"/>
              <w:ind w:right="101"/>
              <w:rPr>
                <w:rFonts w:hint="eastAsia"/>
              </w:rPr>
            </w:pPr>
            <w:r>
              <w:rPr>
                <w:rFonts w:ascii="Arial" w:hAnsi="Arial" w:cs="Arial"/>
                <w:i/>
                <w:iCs/>
                <w:sz w:val="18"/>
                <w:szCs w:val="18"/>
              </w:rPr>
              <w:t>Fiches techniques</w:t>
            </w:r>
          </w:p>
        </w:tc>
        <w:tc>
          <w:tcPr>
            <w:tcW w:w="6674"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33C5F99" w14:textId="77777777" w:rsidR="00FE1DF0" w:rsidRDefault="00E1399F">
            <w:pPr>
              <w:pStyle w:val="Standard"/>
              <w:widowControl w:val="0"/>
              <w:spacing w:before="60" w:after="60" w:line="240" w:lineRule="auto"/>
              <w:ind w:right="101"/>
              <w:rPr>
                <w:rFonts w:hint="eastAsia"/>
                <w:color w:val="000000"/>
              </w:rPr>
            </w:pPr>
            <w:r>
              <w:rPr>
                <w:rFonts w:ascii="Arial" w:hAnsi="Arial" w:cs="Arial"/>
                <w:i/>
                <w:iCs/>
                <w:color w:val="000000"/>
                <w:sz w:val="18"/>
                <w:szCs w:val="18"/>
              </w:rPr>
              <w:t>L’entreprise fournira toutes les fiches techniques des produits et équipements qu’elle juge pertinentes, ainsi que toute fiche complémentaire demandée par la maîtrise d’œuvre ou le maître d’ouvrage.</w:t>
            </w:r>
          </w:p>
          <w:p w14:paraId="5E2C2D59" w14:textId="77777777" w:rsidR="00FE1DF0" w:rsidRDefault="00FE1DF0">
            <w:pPr>
              <w:pStyle w:val="Standard"/>
              <w:widowControl w:val="0"/>
              <w:spacing w:before="60" w:after="60" w:line="240" w:lineRule="auto"/>
              <w:ind w:right="101"/>
              <w:rPr>
                <w:rFonts w:ascii="Arial" w:hAnsi="Arial" w:cs="Arial"/>
                <w:i/>
                <w:iCs/>
                <w:sz w:val="18"/>
                <w:szCs w:val="18"/>
              </w:rPr>
            </w:pPr>
          </w:p>
        </w:tc>
      </w:tr>
    </w:tbl>
    <w:p w14:paraId="79683A17" w14:textId="77777777" w:rsidR="00FE1DF0" w:rsidRDefault="00FE1DF0">
      <w:pPr>
        <w:pStyle w:val="Standard"/>
        <w:keepLines/>
        <w:widowControl w:val="0"/>
        <w:tabs>
          <w:tab w:val="left" w:pos="392"/>
        </w:tabs>
        <w:spacing w:after="0" w:line="240" w:lineRule="auto"/>
        <w:ind w:right="111"/>
        <w:jc w:val="both"/>
        <w:rPr>
          <w:rFonts w:ascii="Arial" w:hAnsi="Arial" w:cs="Arial"/>
          <w:sz w:val="20"/>
          <w:szCs w:val="20"/>
        </w:rPr>
      </w:pPr>
    </w:p>
    <w:p w14:paraId="2E89810A" w14:textId="77777777" w:rsidR="00FE1DF0" w:rsidRDefault="00E1399F">
      <w:pPr>
        <w:pStyle w:val="Standard"/>
        <w:keepNext/>
        <w:keepLines/>
        <w:widowControl w:val="0"/>
        <w:numPr>
          <w:ilvl w:val="0"/>
          <w:numId w:val="12"/>
        </w:numPr>
        <w:tabs>
          <w:tab w:val="left" w:pos="465"/>
        </w:tabs>
        <w:spacing w:before="400" w:after="0" w:line="240" w:lineRule="auto"/>
        <w:jc w:val="both"/>
        <w:rPr>
          <w:rFonts w:hint="eastAsia"/>
        </w:rPr>
      </w:pPr>
      <w:r>
        <w:rPr>
          <w:rFonts w:ascii="Arial" w:hAnsi="Arial" w:cs="Arial"/>
          <w:b/>
          <w:bCs/>
          <w:color w:val="595959"/>
          <w:sz w:val="28"/>
          <w:szCs w:val="28"/>
        </w:rPr>
        <w:t>MODALITES DE RETRAIT DU DOSSIER ET DE REMISE DES PLIS</w:t>
      </w:r>
    </w:p>
    <w:p w14:paraId="6C2819B2" w14:textId="77777777" w:rsidR="00FE1DF0" w:rsidRDefault="00FE1DF0">
      <w:pPr>
        <w:pStyle w:val="Standard"/>
        <w:keepNext/>
        <w:keepLines/>
        <w:widowControl w:val="0"/>
        <w:pBdr>
          <w:bottom w:val="single" w:sz="4" w:space="1" w:color="D9D9D9"/>
        </w:pBdr>
        <w:spacing w:after="0" w:line="240" w:lineRule="auto"/>
        <w:ind w:left="117" w:right="111"/>
        <w:jc w:val="both"/>
        <w:rPr>
          <w:rFonts w:ascii="Arial" w:hAnsi="Arial" w:cs="Arial"/>
          <w:color w:val="000000"/>
          <w:sz w:val="2"/>
          <w:szCs w:val="2"/>
        </w:rPr>
      </w:pPr>
    </w:p>
    <w:p w14:paraId="596EC34A"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0946D104" w14:textId="77777777" w:rsidR="00FE1DF0" w:rsidRDefault="00FE1DF0">
      <w:pPr>
        <w:pStyle w:val="Standard"/>
        <w:widowControl w:val="0"/>
        <w:tabs>
          <w:tab w:val="left" w:pos="509"/>
        </w:tabs>
        <w:spacing w:after="0" w:line="240" w:lineRule="auto"/>
        <w:ind w:left="117" w:right="111"/>
        <w:jc w:val="both"/>
        <w:rPr>
          <w:rFonts w:ascii="Arial" w:hAnsi="Arial" w:cs="Arial"/>
        </w:rPr>
      </w:pPr>
    </w:p>
    <w:p w14:paraId="7CCD45D7"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rPr>
      </w:pPr>
      <w:r>
        <w:rPr>
          <w:rFonts w:ascii="Arial" w:hAnsi="Arial" w:cs="Arial"/>
          <w:b/>
          <w:bCs/>
          <w:color w:val="000000"/>
          <w:sz w:val="20"/>
          <w:szCs w:val="20"/>
        </w:rPr>
        <w:t>Modalités de retrait du dossier de consultation :</w:t>
      </w:r>
    </w:p>
    <w:p w14:paraId="69FD3C91" w14:textId="77777777" w:rsidR="00FE1DF0" w:rsidRDefault="00FE1DF0">
      <w:pPr>
        <w:pStyle w:val="Standard"/>
        <w:widowControl w:val="0"/>
        <w:tabs>
          <w:tab w:val="left" w:pos="509"/>
        </w:tabs>
        <w:spacing w:after="0" w:line="240" w:lineRule="auto"/>
        <w:ind w:left="117" w:right="111"/>
        <w:jc w:val="both"/>
        <w:rPr>
          <w:rFonts w:ascii="Arial" w:hAnsi="Arial" w:cs="Arial"/>
          <w:color w:val="000000"/>
          <w:sz w:val="12"/>
          <w:szCs w:val="12"/>
        </w:rPr>
      </w:pPr>
    </w:p>
    <w:p w14:paraId="3309836F"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 xml:space="preserve">Le dossier de consultation est disponible de manière électronique sur le profil d’acheteur : </w:t>
      </w:r>
      <w:hyperlink r:id="rId8">
        <w:r>
          <w:rPr>
            <w:rFonts w:ascii="Arial" w:hAnsi="Arial" w:cs="Arial"/>
            <w:b/>
            <w:bCs/>
            <w:sz w:val="20"/>
            <w:szCs w:val="20"/>
          </w:rPr>
          <w:t>https://marchespublics596280.fr</w:t>
        </w:r>
      </w:hyperlink>
    </w:p>
    <w:p w14:paraId="0F03FD5D" w14:textId="77777777" w:rsidR="00FE1DF0" w:rsidRDefault="00FE1DF0">
      <w:pPr>
        <w:pStyle w:val="Standard"/>
        <w:widowControl w:val="0"/>
        <w:tabs>
          <w:tab w:val="left" w:pos="509"/>
        </w:tabs>
        <w:spacing w:after="0" w:line="240" w:lineRule="auto"/>
        <w:ind w:left="117" w:right="111"/>
        <w:jc w:val="both"/>
        <w:rPr>
          <w:rFonts w:ascii="Arial" w:hAnsi="Arial" w:cs="Arial"/>
        </w:rPr>
      </w:pPr>
    </w:p>
    <w:p w14:paraId="271B8991"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rPr>
      </w:pPr>
    </w:p>
    <w:p w14:paraId="66793CAA"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u w:val="single"/>
        </w:rPr>
        <w:t>Le dossier de consultation contient les documents suivants :</w:t>
      </w:r>
    </w:p>
    <w:p w14:paraId="5419406A"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67C9099B"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 l’avis d'appel à la concurrence (AAC),</w:t>
      </w:r>
    </w:p>
    <w:p w14:paraId="26827D1D"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 le règlement de la consultation (RC) commun à tous les lots,</w:t>
      </w:r>
    </w:p>
    <w:p w14:paraId="77069A66" w14:textId="77777777" w:rsidR="00FE1DF0" w:rsidRDefault="00E1399F">
      <w:pPr>
        <w:pStyle w:val="Default"/>
        <w:ind w:left="117"/>
      </w:pPr>
      <w:r>
        <w:rPr>
          <w:sz w:val="20"/>
          <w:szCs w:val="20"/>
        </w:rPr>
        <w:t>- le cahier des clauses administratives particulières (CCAP) commun à tous les lots,</w:t>
      </w:r>
    </w:p>
    <w:p w14:paraId="535E253A" w14:textId="77777777" w:rsidR="00FE1DF0" w:rsidRDefault="00E1399F">
      <w:pPr>
        <w:pStyle w:val="Default"/>
        <w:ind w:left="117"/>
      </w:pPr>
      <w:r>
        <w:rPr>
          <w:sz w:val="20"/>
          <w:szCs w:val="20"/>
        </w:rPr>
        <w:t>- le cahier des clauses technique communes (CCTC) commun à tous les lots,</w:t>
      </w:r>
    </w:p>
    <w:p w14:paraId="5DC70ABE" w14:textId="77777777" w:rsidR="00FE1DF0" w:rsidRDefault="00E1399F">
      <w:pPr>
        <w:pStyle w:val="Default"/>
        <w:ind w:left="117"/>
      </w:pPr>
      <w:r>
        <w:rPr>
          <w:b/>
          <w:bCs/>
          <w:sz w:val="20"/>
          <w:szCs w:val="20"/>
        </w:rPr>
        <w:lastRenderedPageBreak/>
        <w:t>- les annexes insertion et RPGD, avec une annexe pour le lot 1 et une annexe pour les lots 2 et suivants) ;</w:t>
      </w:r>
    </w:p>
    <w:p w14:paraId="37F411B6" w14:textId="77777777" w:rsidR="00FE1DF0" w:rsidRDefault="00FE1DF0">
      <w:pPr>
        <w:pStyle w:val="Standard"/>
        <w:spacing w:after="0" w:line="240" w:lineRule="auto"/>
        <w:ind w:left="117"/>
        <w:rPr>
          <w:rFonts w:ascii="Aptos Narrow" w:eastAsia="Times New Roman" w:hAnsi="Aptos Narrow"/>
          <w:color w:val="000000"/>
          <w:sz w:val="26"/>
          <w:szCs w:val="26"/>
        </w:rPr>
      </w:pPr>
    </w:p>
    <w:p w14:paraId="2958422B" w14:textId="77777777" w:rsidR="00FE1DF0" w:rsidRDefault="00E1399F">
      <w:pPr>
        <w:pStyle w:val="Standard"/>
        <w:widowControl w:val="0"/>
        <w:tabs>
          <w:tab w:val="left" w:pos="509"/>
        </w:tabs>
        <w:spacing w:after="0" w:line="240" w:lineRule="auto"/>
        <w:ind w:left="117" w:right="111"/>
        <w:jc w:val="both"/>
        <w:rPr>
          <w:rFonts w:hint="eastAsia"/>
        </w:rPr>
      </w:pPr>
      <w:r>
        <w:rPr>
          <w:noProof/>
        </w:rPr>
        <w:drawing>
          <wp:inline distT="0" distB="0" distL="0" distR="0" wp14:anchorId="783A34D9" wp14:editId="6C0A62BD">
            <wp:extent cx="4076700" cy="3340100"/>
            <wp:effectExtent l="0" t="0" r="0" b="0"/>
            <wp:docPr id="2" name="image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2"/>
                    <pic:cNvPicPr>
                      <a:picLocks noChangeAspect="1" noChangeArrowheads="1"/>
                    </pic:cNvPicPr>
                  </pic:nvPicPr>
                  <pic:blipFill>
                    <a:blip r:embed="rId9"/>
                    <a:stretch>
                      <a:fillRect/>
                    </a:stretch>
                  </pic:blipFill>
                  <pic:spPr bwMode="auto">
                    <a:xfrm>
                      <a:off x="0" y="0"/>
                      <a:ext cx="4076700" cy="3340100"/>
                    </a:xfrm>
                    <a:prstGeom prst="rect">
                      <a:avLst/>
                    </a:prstGeom>
                    <a:noFill/>
                  </pic:spPr>
                </pic:pic>
              </a:graphicData>
            </a:graphic>
          </wp:inline>
        </w:drawing>
      </w:r>
    </w:p>
    <w:p w14:paraId="39EF374D"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 la lettre de candidature (DC1) : Lettre de candidature Habilitation du mandataire par ses cotraitants (DC1 disponible sur le site du Ministère de l'Economie),</w:t>
      </w:r>
    </w:p>
    <w:p w14:paraId="292949FC"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 la déclaration du candidat (DC2) : Déclaration du candidat individuelle ou du membre du groupement (DC2 disponible sur le site du Ministère de l'Economie),</w:t>
      </w:r>
    </w:p>
    <w:p w14:paraId="30080730"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 la déclaration de sous-traitance (DC4) : Déclaration de sous-traitance qui peut être utilisé par les soumissionnaires ou titulaires de marchés publics pour présenter un sous-traitant (DC4 disponible sur le site du Ministère de l'Economie),</w:t>
      </w:r>
    </w:p>
    <w:p w14:paraId="3F089095" w14:textId="77777777" w:rsidR="00FE1DF0" w:rsidRDefault="00E1399F">
      <w:pPr>
        <w:pStyle w:val="Standard"/>
        <w:widowControl w:val="0"/>
        <w:spacing w:after="0" w:line="240" w:lineRule="auto"/>
        <w:ind w:left="117" w:right="111"/>
        <w:jc w:val="both"/>
        <w:rPr>
          <w:rFonts w:hint="eastAsia"/>
          <w:shd w:val="clear" w:color="auto" w:fill="FFFFFF"/>
        </w:rPr>
      </w:pPr>
      <w:r>
        <w:rPr>
          <w:rFonts w:ascii="Arial" w:hAnsi="Arial" w:cs="Arial"/>
          <w:sz w:val="20"/>
          <w:szCs w:val="20"/>
          <w:shd w:val="clear" w:color="auto" w:fill="FFFFFF"/>
        </w:rPr>
        <w:t>- l'attestation sur l'honneur, comprenant les interdictions de soumissionner et l'attestation de non-emploi de travailleurs étrangers,</w:t>
      </w:r>
    </w:p>
    <w:p w14:paraId="469F7D4B"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shd w:val="clear" w:color="auto" w:fill="FFFFFF"/>
        </w:rPr>
      </w:pPr>
    </w:p>
    <w:p w14:paraId="6F9685ED"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 xml:space="preserve">L’acheteur se réserve le droit d'envoyer au plus tard </w:t>
      </w:r>
      <w:r>
        <w:rPr>
          <w:rFonts w:ascii="Arial" w:hAnsi="Arial" w:cs="Arial"/>
          <w:color w:val="FF0000"/>
          <w:sz w:val="20"/>
          <w:szCs w:val="20"/>
          <w:shd w:val="clear" w:color="auto" w:fill="FFFFFF"/>
        </w:rPr>
        <w:t>6</w:t>
      </w:r>
      <w:r>
        <w:rPr>
          <w:rFonts w:ascii="Arial" w:hAnsi="Arial" w:cs="Arial"/>
          <w:color w:val="000000"/>
          <w:sz w:val="20"/>
          <w:szCs w:val="20"/>
          <w:shd w:val="clear" w:color="auto" w:fill="FFFFFF"/>
        </w:rPr>
        <w:t xml:space="preserve"> jours avant la date limite de remise des offres des modifications de détail sur le dossier de consultation. Les candidats devront alors répondre sur la base du dossier de consultation modifié.</w:t>
      </w:r>
    </w:p>
    <w:p w14:paraId="7C9CD393" w14:textId="77777777" w:rsidR="00FE1DF0" w:rsidRDefault="00FE1DF0">
      <w:pPr>
        <w:pStyle w:val="Standard"/>
        <w:widowControl w:val="0"/>
        <w:tabs>
          <w:tab w:val="left" w:pos="509"/>
        </w:tabs>
        <w:spacing w:after="0" w:line="240" w:lineRule="auto"/>
        <w:ind w:left="117" w:right="111"/>
        <w:jc w:val="both"/>
        <w:rPr>
          <w:rFonts w:ascii="Arial" w:hAnsi="Arial" w:cs="Arial"/>
          <w:color w:val="000000"/>
          <w:sz w:val="20"/>
          <w:szCs w:val="20"/>
        </w:rPr>
      </w:pPr>
    </w:p>
    <w:p w14:paraId="276D9F9F"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33915BEC"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6A80394F"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rPr>
      </w:pPr>
      <w:r>
        <w:rPr>
          <w:rFonts w:ascii="Arial" w:hAnsi="Arial" w:cs="Arial"/>
          <w:b/>
          <w:bCs/>
          <w:color w:val="000000"/>
          <w:sz w:val="20"/>
          <w:szCs w:val="20"/>
        </w:rPr>
        <w:t>Communication et échanges d’informations par voie électronique :</w:t>
      </w:r>
    </w:p>
    <w:p w14:paraId="54237DF7" w14:textId="77777777" w:rsidR="00FE1DF0" w:rsidRDefault="00FE1DF0">
      <w:pPr>
        <w:pStyle w:val="Standard"/>
        <w:widowControl w:val="0"/>
        <w:tabs>
          <w:tab w:val="left" w:pos="509"/>
        </w:tabs>
        <w:spacing w:after="0" w:line="240" w:lineRule="auto"/>
        <w:ind w:left="117" w:right="111"/>
        <w:jc w:val="both"/>
        <w:rPr>
          <w:rFonts w:ascii="Arial" w:hAnsi="Arial" w:cs="Arial"/>
          <w:color w:val="000000"/>
          <w:sz w:val="12"/>
          <w:szCs w:val="12"/>
        </w:rPr>
      </w:pPr>
    </w:p>
    <w:p w14:paraId="70A446A4"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hyperlink r:id="rId10">
        <w:r>
          <w:rPr>
            <w:rFonts w:ascii="Arial" w:hAnsi="Arial" w:cs="Arial"/>
            <w:b/>
            <w:bCs/>
            <w:sz w:val="20"/>
            <w:szCs w:val="20"/>
          </w:rPr>
          <w:t>https://marchespublics596280.fr</w:t>
        </w:r>
      </w:hyperlink>
      <w:r>
        <w:rPr>
          <w:rFonts w:ascii="Arial" w:hAnsi="Arial" w:cs="Arial"/>
          <w:color w:val="000000"/>
          <w:sz w:val="20"/>
          <w:szCs w:val="20"/>
        </w:rPr>
        <w:t xml:space="preserve">.  </w:t>
      </w:r>
    </w:p>
    <w:p w14:paraId="69370094" w14:textId="77777777" w:rsidR="00FE1DF0" w:rsidRDefault="00FE1DF0">
      <w:pPr>
        <w:pStyle w:val="Standard"/>
        <w:keepLines/>
        <w:widowControl w:val="0"/>
        <w:tabs>
          <w:tab w:val="left" w:pos="509"/>
        </w:tabs>
        <w:spacing w:after="0" w:line="240" w:lineRule="auto"/>
        <w:ind w:left="117" w:right="111"/>
        <w:jc w:val="both"/>
        <w:rPr>
          <w:rFonts w:ascii="Arial" w:hAnsi="Arial" w:cs="Arial"/>
          <w:sz w:val="20"/>
          <w:szCs w:val="20"/>
        </w:rPr>
      </w:pPr>
    </w:p>
    <w:p w14:paraId="7E1E2978"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rPr>
      </w:pPr>
      <w:r>
        <w:rPr>
          <w:rFonts w:ascii="Arial" w:hAnsi="Arial" w:cs="Arial"/>
          <w:b/>
          <w:bCs/>
          <w:color w:val="000000"/>
          <w:sz w:val="20"/>
          <w:szCs w:val="20"/>
        </w:rPr>
        <w:t>Modalités de remise des offres :</w:t>
      </w:r>
    </w:p>
    <w:p w14:paraId="6629DC86"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rPr>
      </w:pPr>
    </w:p>
    <w:p w14:paraId="6EFDEB4D"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hyperlink r:id="rId11">
        <w:r>
          <w:rPr>
            <w:rFonts w:ascii="Arial" w:hAnsi="Arial" w:cs="Arial"/>
            <w:b/>
            <w:bCs/>
            <w:sz w:val="20"/>
            <w:szCs w:val="20"/>
          </w:rPr>
          <w:t>https://marchespublics596280.fr</w:t>
        </w:r>
      </w:hyperlink>
      <w:r>
        <w:rPr>
          <w:rFonts w:ascii="Arial" w:hAnsi="Arial" w:cs="Arial"/>
          <w:color w:val="000000"/>
          <w:sz w:val="20"/>
          <w:szCs w:val="20"/>
        </w:rPr>
        <w:t>.</w:t>
      </w:r>
    </w:p>
    <w:p w14:paraId="1E38D506"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rPr>
      </w:pPr>
    </w:p>
    <w:p w14:paraId="0550F7F6"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rPr>
      </w:pPr>
    </w:p>
    <w:p w14:paraId="0E45555D"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rPr>
        <w:t>Les copies de sauvegarde et les éléments de la proposition qui ne peuvent être transmis par voie électronique doivent être adressés à :</w:t>
      </w:r>
    </w:p>
    <w:p w14:paraId="14E87EB8"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rPr>
      </w:pPr>
    </w:p>
    <w:p w14:paraId="36521995"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12"/>
          <w:u w:val="single"/>
        </w:rPr>
        <w:t>Par courrier :</w:t>
      </w:r>
    </w:p>
    <w:p w14:paraId="06AC4093"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b/>
          <w:bCs/>
          <w:color w:val="000000"/>
          <w:sz w:val="20"/>
          <w:szCs w:val="20"/>
        </w:rPr>
        <w:t>Commune de VRED</w:t>
      </w:r>
    </w:p>
    <w:p w14:paraId="1935F9E8"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Représentant : monsieur le Maire – Eric Soquet</w:t>
      </w:r>
    </w:p>
    <w:p w14:paraId="46C0FD17"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Adresse : 153 Place du Général de Gaulle</w:t>
      </w:r>
    </w:p>
    <w:p w14:paraId="74BA43F4"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59870 VRED</w:t>
      </w:r>
    </w:p>
    <w:p w14:paraId="28CDD75C"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Courriel :</w:t>
      </w:r>
      <w:r>
        <w:rPr>
          <w:rFonts w:ascii="Arial" w:hAnsi="Arial" w:cs="Arial"/>
          <w:color w:val="000000"/>
          <w:sz w:val="20"/>
          <w:szCs w:val="20"/>
          <w:u w:val="single"/>
        </w:rPr>
        <w:t xml:space="preserve"> mairie@vred.fr</w:t>
      </w:r>
    </w:p>
    <w:p w14:paraId="7BCBB7AA" w14:textId="77777777" w:rsidR="00FE1DF0" w:rsidRDefault="00FE1DF0">
      <w:pPr>
        <w:pStyle w:val="Standard"/>
        <w:widowControl w:val="0"/>
        <w:tabs>
          <w:tab w:val="left" w:pos="509"/>
        </w:tabs>
        <w:spacing w:after="0" w:line="240" w:lineRule="auto"/>
        <w:ind w:left="117" w:right="111"/>
        <w:jc w:val="both"/>
        <w:rPr>
          <w:rFonts w:ascii="Arial" w:hAnsi="Arial" w:cs="Arial"/>
        </w:rPr>
      </w:pPr>
    </w:p>
    <w:p w14:paraId="5151ED64" w14:textId="77777777" w:rsidR="00FE1DF0" w:rsidRDefault="00FE1DF0">
      <w:pPr>
        <w:pStyle w:val="Standard"/>
        <w:widowControl w:val="0"/>
        <w:tabs>
          <w:tab w:val="left" w:pos="509"/>
        </w:tabs>
        <w:spacing w:after="0" w:line="240" w:lineRule="auto"/>
        <w:ind w:left="117" w:right="111"/>
        <w:jc w:val="both"/>
        <w:rPr>
          <w:rFonts w:ascii="Arial" w:hAnsi="Arial" w:cs="Arial"/>
        </w:rPr>
      </w:pPr>
    </w:p>
    <w:p w14:paraId="4F0D0040"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u w:val="single"/>
        </w:rPr>
        <w:t>Dépôt en main propre :</w:t>
      </w:r>
    </w:p>
    <w:p w14:paraId="40CF78CF"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b/>
          <w:bCs/>
          <w:sz w:val="20"/>
        </w:rPr>
        <w:t>Commune de VRED</w:t>
      </w:r>
    </w:p>
    <w:p w14:paraId="725A63B4"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sz w:val="20"/>
        </w:rPr>
        <w:t>Représentant : monsieur le Maire – Eric SOQUET</w:t>
      </w:r>
    </w:p>
    <w:p w14:paraId="10AFEDAD"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sz w:val="20"/>
        </w:rPr>
        <w:t>Secrétaire de Maire : Corinne DE BACKER -</w:t>
      </w:r>
    </w:p>
    <w:p w14:paraId="483DADEF"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sz w:val="20"/>
        </w:rPr>
        <w:t>Adresse : 153 Place du Général de Gaulle</w:t>
      </w:r>
    </w:p>
    <w:p w14:paraId="01468A7C"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sz w:val="20"/>
        </w:rPr>
        <w:t>59870 VRED</w:t>
      </w:r>
    </w:p>
    <w:p w14:paraId="0A3B76AA"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sz w:val="20"/>
        </w:rPr>
        <w:t>Courriel :</w:t>
      </w:r>
      <w:r>
        <w:rPr>
          <w:rFonts w:ascii="Arial" w:hAnsi="Arial" w:cs="Arial"/>
          <w:sz w:val="20"/>
          <w:u w:val="single"/>
        </w:rPr>
        <w:t xml:space="preserve"> mairie@vred.fr</w:t>
      </w:r>
    </w:p>
    <w:p w14:paraId="26441367"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sz w:val="20"/>
        </w:rPr>
        <w:t>Du lundi au vendredi (sauf jours fériés) 9h-12h, 13h45-16h30</w:t>
      </w:r>
    </w:p>
    <w:p w14:paraId="1CA92BE0" w14:textId="77777777" w:rsidR="00FE1DF0" w:rsidRDefault="00FE1DF0">
      <w:pPr>
        <w:pStyle w:val="Standard"/>
        <w:widowControl w:val="0"/>
        <w:tabs>
          <w:tab w:val="left" w:pos="509"/>
        </w:tabs>
        <w:spacing w:after="0" w:line="240" w:lineRule="auto"/>
        <w:ind w:left="117" w:right="111"/>
        <w:jc w:val="both"/>
        <w:rPr>
          <w:rFonts w:ascii="Arial" w:hAnsi="Arial" w:cs="Arial"/>
          <w:sz w:val="20"/>
        </w:rPr>
      </w:pPr>
    </w:p>
    <w:p w14:paraId="2104FD37" w14:textId="77777777" w:rsidR="00FE1DF0" w:rsidRDefault="00FE1DF0">
      <w:pPr>
        <w:pStyle w:val="Standard"/>
        <w:widowControl w:val="0"/>
        <w:tabs>
          <w:tab w:val="left" w:pos="509"/>
        </w:tabs>
        <w:spacing w:after="0" w:line="240" w:lineRule="auto"/>
        <w:ind w:left="117" w:right="111"/>
        <w:jc w:val="both"/>
        <w:rPr>
          <w:rFonts w:ascii="Arial" w:hAnsi="Arial" w:cs="Arial"/>
          <w:sz w:val="20"/>
        </w:rPr>
      </w:pPr>
    </w:p>
    <w:p w14:paraId="5772F817"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sz w:val="20"/>
          <w:shd w:val="clear" w:color="auto" w:fill="FFFFFF"/>
        </w:rPr>
        <w:t>Les propositions doivent être remises en</w:t>
      </w:r>
      <w:r>
        <w:rPr>
          <w:rFonts w:ascii="Arial" w:hAnsi="Arial" w:cs="Arial"/>
          <w:color w:val="000000"/>
          <w:sz w:val="20"/>
          <w:szCs w:val="20"/>
          <w:shd w:val="clear" w:color="auto" w:fill="FFFFFF"/>
        </w:rPr>
        <w:t xml:space="preserve"> euros et rédigées en langue française. Si les propositions sont rédigées dans une autre langue, elles doivent être accompagnées d'une traduction en français.</w:t>
      </w:r>
    </w:p>
    <w:p w14:paraId="70A46906"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color w:val="000000"/>
          <w:sz w:val="20"/>
          <w:szCs w:val="20"/>
          <w:shd w:val="clear" w:color="auto" w:fill="FFFFFF"/>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6E5E0B74"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color w:val="000000"/>
          <w:sz w:val="20"/>
          <w:szCs w:val="20"/>
          <w:shd w:val="clear" w:color="auto" w:fill="FFFFFF"/>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28EA6025"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color w:val="000000"/>
          <w:sz w:val="20"/>
          <w:szCs w:val="20"/>
          <w:shd w:val="clear" w:color="auto" w:fill="FFFFFF"/>
        </w:rPr>
        <w:t>Tous les plis sont horodatés et font l’objet après dépôt d’un accusé de bonne réception délivré par le profil acheteur.</w:t>
      </w:r>
    </w:p>
    <w:p w14:paraId="427740C9"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color w:val="000000"/>
          <w:sz w:val="20"/>
          <w:szCs w:val="20"/>
          <w:shd w:val="clear" w:color="auto" w:fill="FFFFFF"/>
        </w:rPr>
        <w:t>Dans le cas de candidatures groupées, le mandataire assure la sécurité et l’authenticité des informations transmises au nom des membres du groupement.</w:t>
      </w:r>
    </w:p>
    <w:p w14:paraId="73FD3496"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color w:val="000000"/>
          <w:sz w:val="20"/>
          <w:szCs w:val="20"/>
          <w:shd w:val="clear" w:color="auto" w:fill="FFFFFF"/>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shd w:val="clear" w:color="auto" w:fill="FFFFFF"/>
        </w:rPr>
        <w:t xml:space="preserve">. </w:t>
      </w:r>
      <w:r>
        <w:rPr>
          <w:rFonts w:ascii="Arial" w:hAnsi="Arial" w:cs="Arial"/>
          <w:color w:val="000000"/>
          <w:sz w:val="20"/>
          <w:szCs w:val="20"/>
          <w:shd w:val="clear" w:color="auto" w:fill="FFFFFF"/>
        </w:rPr>
        <w:t>Ce pli est adressé en recommandé avec avis de réception ou remis en main propre contre récépissé à l’adresse indiquée ci-avant.</w:t>
      </w:r>
    </w:p>
    <w:p w14:paraId="53D748F7"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hd w:val="clear" w:color="auto" w:fill="FFFFFF"/>
        </w:rPr>
        <w:t>La copie de sauvegarde est une copie à l’identique de la réponse électronique destinée à se substituer, en cas d’anomalie, aux dossiers de candidature et de l’offre transmis par voie électronique.</w:t>
      </w:r>
    </w:p>
    <w:p w14:paraId="051709EB"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sz w:val="20"/>
          <w:shd w:val="clear" w:color="auto" w:fill="FFFFFF"/>
        </w:rPr>
        <w:t>En aucun cas la remise d’une copie de sauvegarde autorise un prestataire à ne pas déposer son offre par voie électronique.</w:t>
      </w:r>
    </w:p>
    <w:p w14:paraId="5FE43C35"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color w:val="000000"/>
          <w:sz w:val="20"/>
          <w:szCs w:val="20"/>
          <w:shd w:val="clear" w:color="auto" w:fill="FFFFFF"/>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51E6B42A"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color w:val="000000"/>
          <w:sz w:val="20"/>
          <w:szCs w:val="20"/>
          <w:shd w:val="clear" w:color="auto" w:fill="FFFFFF"/>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1A9A9337"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color w:val="000000"/>
          <w:sz w:val="20"/>
          <w:szCs w:val="20"/>
          <w:shd w:val="clear" w:color="auto" w:fill="FFFFFF"/>
        </w:rPr>
        <w:t>Les propositions n'ont pas à être remises signées par les candidats. Le contrat sera signé par le seul attributaire de préférence de manière électronique.</w:t>
      </w:r>
    </w:p>
    <w:p w14:paraId="370E644C"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color w:val="000000"/>
          <w:sz w:val="20"/>
          <w:szCs w:val="20"/>
          <w:shd w:val="clear" w:color="auto" w:fill="FFFFFF"/>
        </w:rPr>
        <w:t xml:space="preserve">Le candidat doit alors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w:t>
      </w:r>
      <w:r>
        <w:rPr>
          <w:rFonts w:ascii="Arial" w:hAnsi="Arial" w:cs="Arial"/>
          <w:color w:val="000000"/>
          <w:sz w:val="20"/>
          <w:szCs w:val="20"/>
          <w:shd w:val="clear" w:color="auto" w:fill="FFFFFF"/>
        </w:rPr>
        <w:t>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CAdES ou PAdES.</w:t>
      </w:r>
    </w:p>
    <w:p w14:paraId="3E2A7DBE" w14:textId="77777777" w:rsidR="00FE1DF0" w:rsidRDefault="00FE1DF0">
      <w:pPr>
        <w:pStyle w:val="Standard"/>
        <w:widowControl w:val="0"/>
        <w:spacing w:before="120" w:after="120" w:line="240" w:lineRule="auto"/>
        <w:ind w:left="117"/>
        <w:jc w:val="both"/>
        <w:rPr>
          <w:rFonts w:ascii="Arial" w:hAnsi="Arial" w:cs="Arial"/>
          <w:color w:val="000000"/>
          <w:sz w:val="20"/>
          <w:szCs w:val="20"/>
          <w:shd w:val="clear" w:color="auto" w:fill="FFFFFF"/>
        </w:rPr>
      </w:pPr>
    </w:p>
    <w:p w14:paraId="7F26BC75"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shd w:val="clear" w:color="auto" w:fill="FFFFFF"/>
        </w:rPr>
      </w:pPr>
      <w:r>
        <w:rPr>
          <w:rFonts w:ascii="Arial" w:hAnsi="Arial" w:cs="Arial"/>
          <w:b/>
          <w:bCs/>
          <w:color w:val="000000"/>
          <w:sz w:val="20"/>
          <w:szCs w:val="20"/>
          <w:shd w:val="clear" w:color="auto" w:fill="FFFFFF"/>
        </w:rPr>
        <w:lastRenderedPageBreak/>
        <w:t>Délai de validité des offres :</w:t>
      </w:r>
    </w:p>
    <w:p w14:paraId="0C18DDED" w14:textId="77777777" w:rsidR="00FE1DF0" w:rsidRDefault="00FE1DF0">
      <w:pPr>
        <w:pStyle w:val="Standard"/>
        <w:widowControl w:val="0"/>
        <w:tabs>
          <w:tab w:val="left" w:pos="509"/>
        </w:tabs>
        <w:spacing w:after="0" w:line="240" w:lineRule="auto"/>
        <w:ind w:left="117" w:right="111"/>
        <w:jc w:val="both"/>
        <w:rPr>
          <w:rFonts w:ascii="Arial" w:hAnsi="Arial" w:cs="Arial"/>
          <w:color w:val="000000"/>
          <w:sz w:val="12"/>
          <w:szCs w:val="12"/>
          <w:shd w:val="clear" w:color="auto" w:fill="FFFFFF"/>
        </w:rPr>
      </w:pPr>
    </w:p>
    <w:p w14:paraId="310685AB"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Le délai de validité des offres est de 6 mois</w:t>
      </w:r>
      <w:r>
        <w:rPr>
          <w:rFonts w:ascii="Arial" w:hAnsi="Arial" w:cs="Arial"/>
          <w:color w:val="FF0000"/>
          <w:sz w:val="20"/>
          <w:szCs w:val="20"/>
          <w:shd w:val="clear" w:color="auto" w:fill="FFFFFF"/>
        </w:rPr>
        <w:t xml:space="preserve"> </w:t>
      </w:r>
      <w:r>
        <w:rPr>
          <w:rFonts w:ascii="Arial" w:hAnsi="Arial" w:cs="Arial"/>
          <w:color w:val="000000"/>
          <w:sz w:val="20"/>
          <w:szCs w:val="20"/>
          <w:shd w:val="clear" w:color="auto" w:fill="FFFFFF"/>
        </w:rPr>
        <w:t>à compter de la date limite de réception des offres.</w:t>
      </w:r>
    </w:p>
    <w:p w14:paraId="6242D047"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shd w:val="clear" w:color="auto" w:fill="FFFFFF"/>
        </w:rPr>
      </w:pPr>
    </w:p>
    <w:p w14:paraId="383D27DC" w14:textId="77777777" w:rsidR="00FE1DF0" w:rsidRDefault="00E1399F">
      <w:pPr>
        <w:pStyle w:val="Standard"/>
        <w:keepNext/>
        <w:keepLines/>
        <w:widowControl w:val="0"/>
        <w:numPr>
          <w:ilvl w:val="0"/>
          <w:numId w:val="12"/>
        </w:numPr>
        <w:tabs>
          <w:tab w:val="left" w:pos="465"/>
        </w:tabs>
        <w:spacing w:before="400" w:after="0" w:line="240" w:lineRule="auto"/>
        <w:jc w:val="both"/>
        <w:rPr>
          <w:rFonts w:hint="eastAsia"/>
        </w:rPr>
      </w:pPr>
      <w:r>
        <w:rPr>
          <w:rFonts w:ascii="Arial" w:hAnsi="Arial" w:cs="Arial"/>
          <w:b/>
          <w:bCs/>
          <w:color w:val="595959"/>
          <w:sz w:val="28"/>
          <w:szCs w:val="28"/>
        </w:rPr>
        <w:t>JUGEMENT DES OFFRES ET ATTRIBUTION</w:t>
      </w:r>
    </w:p>
    <w:p w14:paraId="1D2EE443" w14:textId="77777777" w:rsidR="00FE1DF0" w:rsidRDefault="00FE1DF0">
      <w:pPr>
        <w:pStyle w:val="Standard"/>
        <w:keepNext/>
        <w:keepLines/>
        <w:widowControl w:val="0"/>
        <w:pBdr>
          <w:bottom w:val="single" w:sz="4" w:space="1" w:color="D9D9D9"/>
        </w:pBdr>
        <w:spacing w:after="0" w:line="240" w:lineRule="auto"/>
        <w:ind w:left="117" w:right="111"/>
        <w:jc w:val="both"/>
        <w:rPr>
          <w:rFonts w:ascii="Arial" w:hAnsi="Arial" w:cs="Arial"/>
          <w:color w:val="000000"/>
          <w:sz w:val="2"/>
          <w:szCs w:val="2"/>
        </w:rPr>
      </w:pPr>
    </w:p>
    <w:p w14:paraId="2AF7A0CE"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78E0B6BB"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rPr>
      </w:pPr>
      <w:r>
        <w:rPr>
          <w:rFonts w:ascii="Arial" w:hAnsi="Arial" w:cs="Arial"/>
          <w:b/>
          <w:bCs/>
          <w:color w:val="000000"/>
          <w:sz w:val="20"/>
          <w:szCs w:val="20"/>
        </w:rPr>
        <w:t>Critères de jugement des offres :</w:t>
      </w:r>
    </w:p>
    <w:p w14:paraId="5FCF111A"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12"/>
          <w:szCs w:val="12"/>
        </w:rPr>
      </w:pPr>
    </w:p>
    <w:p w14:paraId="25D00550" w14:textId="77777777" w:rsidR="00FE1DF0" w:rsidRDefault="00E1399F">
      <w:pPr>
        <w:pStyle w:val="Standard"/>
        <w:widowControl w:val="0"/>
        <w:spacing w:after="0" w:line="240" w:lineRule="auto"/>
        <w:ind w:left="117" w:right="111"/>
        <w:rPr>
          <w:rFonts w:hint="eastAsia"/>
        </w:rPr>
      </w:pPr>
      <w:r>
        <w:rPr>
          <w:rFonts w:ascii="Arial" w:hAnsi="Arial" w:cs="Arial"/>
          <w:color w:val="000000"/>
          <w:sz w:val="20"/>
          <w:szCs w:val="20"/>
        </w:rPr>
        <w:t>Les offres sont analysées et classées en fonction des critères suivants :</w:t>
      </w:r>
    </w:p>
    <w:p w14:paraId="386892FF" w14:textId="77777777" w:rsidR="00FE1DF0" w:rsidRDefault="00FE1DF0">
      <w:pPr>
        <w:pStyle w:val="Standard"/>
        <w:widowControl w:val="0"/>
        <w:spacing w:after="0" w:line="240" w:lineRule="auto"/>
        <w:ind w:left="117" w:right="111"/>
        <w:rPr>
          <w:rFonts w:ascii="Arial" w:hAnsi="Arial" w:cs="Arial"/>
          <w:color w:val="000000"/>
          <w:sz w:val="20"/>
          <w:szCs w:val="20"/>
        </w:rPr>
      </w:pPr>
    </w:p>
    <w:p w14:paraId="1EDC1EAD" w14:textId="77777777" w:rsidR="00FE1DF0" w:rsidRDefault="00E1399F">
      <w:pPr>
        <w:pStyle w:val="Standard"/>
        <w:widowControl w:val="0"/>
        <w:spacing w:after="0" w:line="240" w:lineRule="auto"/>
        <w:ind w:left="117" w:right="111"/>
        <w:rPr>
          <w:rFonts w:hint="eastAsia"/>
        </w:rPr>
      </w:pPr>
      <w:r>
        <w:rPr>
          <w:rFonts w:ascii="Arial" w:hAnsi="Arial" w:cs="Arial"/>
          <w:b/>
          <w:bCs/>
          <w:color w:val="000000"/>
          <w:sz w:val="20"/>
          <w:szCs w:val="20"/>
        </w:rPr>
        <w:t>- pour tous les lots</w:t>
      </w:r>
    </w:p>
    <w:p w14:paraId="7D9184BF" w14:textId="77777777" w:rsidR="00FE1DF0" w:rsidRDefault="00FE1DF0">
      <w:pPr>
        <w:pStyle w:val="Standard"/>
        <w:widowControl w:val="0"/>
        <w:spacing w:after="0" w:line="240" w:lineRule="auto"/>
        <w:ind w:left="117" w:right="111"/>
        <w:rPr>
          <w:rFonts w:ascii="Arial" w:hAnsi="Arial" w:cs="Arial"/>
          <w:color w:val="000000"/>
          <w:sz w:val="12"/>
          <w:szCs w:val="12"/>
          <w:shd w:val="clear" w:color="auto" w:fill="FFFF00"/>
        </w:rPr>
      </w:pPr>
    </w:p>
    <w:tbl>
      <w:tblPr>
        <w:tblW w:w="9747" w:type="dxa"/>
        <w:tblInd w:w="19" w:type="dxa"/>
        <w:tblLayout w:type="fixed"/>
        <w:tblCellMar>
          <w:left w:w="0" w:type="dxa"/>
          <w:right w:w="0" w:type="dxa"/>
        </w:tblCellMar>
        <w:tblLook w:val="0000" w:firstRow="0" w:lastRow="0" w:firstColumn="0" w:lastColumn="0" w:noHBand="0" w:noVBand="0"/>
      </w:tblPr>
      <w:tblGrid>
        <w:gridCol w:w="4076"/>
        <w:gridCol w:w="5671"/>
      </w:tblGrid>
      <w:tr w:rsidR="00FE1DF0" w14:paraId="501EFED5" w14:textId="77777777">
        <w:trPr>
          <w:cantSplit/>
          <w:tblHeader/>
        </w:trPr>
        <w:tc>
          <w:tcPr>
            <w:tcW w:w="4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29E928A" w14:textId="77777777" w:rsidR="00FE1DF0" w:rsidRDefault="00E1399F">
            <w:pPr>
              <w:pStyle w:val="Standard"/>
              <w:keepLines/>
              <w:widowControl w:val="0"/>
              <w:spacing w:before="60" w:after="60" w:line="240" w:lineRule="auto"/>
              <w:ind w:left="108" w:right="91"/>
              <w:jc w:val="center"/>
              <w:rPr>
                <w:rFonts w:hint="eastAsia"/>
              </w:rPr>
            </w:pPr>
            <w:r>
              <w:rPr>
                <w:rFonts w:ascii="Arial" w:hAnsi="Arial" w:cs="Arial"/>
                <w:color w:val="FFFFFF"/>
                <w:sz w:val="20"/>
                <w:szCs w:val="20"/>
              </w:rPr>
              <w:t>Critère et pondération</w:t>
            </w:r>
          </w:p>
        </w:tc>
        <w:tc>
          <w:tcPr>
            <w:tcW w:w="5671" w:type="dxa"/>
            <w:tcBorders>
              <w:top w:val="single" w:sz="8" w:space="0" w:color="D9D9D9"/>
              <w:left w:val="single" w:sz="8" w:space="0" w:color="D9D9D9"/>
              <w:bottom w:val="single" w:sz="8" w:space="0" w:color="D9D9D9"/>
              <w:right w:val="single" w:sz="8" w:space="0" w:color="D9D9D9"/>
            </w:tcBorders>
            <w:shd w:val="clear" w:color="auto" w:fill="595959"/>
          </w:tcPr>
          <w:p w14:paraId="28689B6A" w14:textId="77777777" w:rsidR="00FE1DF0" w:rsidRDefault="00E1399F">
            <w:pPr>
              <w:pStyle w:val="Standard"/>
              <w:keepLines/>
              <w:widowControl w:val="0"/>
              <w:spacing w:before="60" w:after="60" w:line="240" w:lineRule="auto"/>
              <w:ind w:left="125" w:right="81"/>
              <w:jc w:val="center"/>
              <w:rPr>
                <w:rFonts w:hint="eastAsia"/>
              </w:rPr>
            </w:pPr>
            <w:r>
              <w:rPr>
                <w:rFonts w:ascii="Arial" w:hAnsi="Arial" w:cs="Arial"/>
                <w:color w:val="FFFFFF"/>
                <w:sz w:val="20"/>
                <w:szCs w:val="20"/>
              </w:rPr>
              <w:t>Sous-critères</w:t>
            </w:r>
          </w:p>
        </w:tc>
      </w:tr>
      <w:tr w:rsidR="00FE1DF0" w14:paraId="5EE100AF" w14:textId="77777777">
        <w:tc>
          <w:tcPr>
            <w:tcW w:w="4076" w:type="dxa"/>
            <w:tcBorders>
              <w:top w:val="single" w:sz="8" w:space="0" w:color="D9D9D9"/>
              <w:left w:val="single" w:sz="8" w:space="0" w:color="D9D9D9"/>
              <w:bottom w:val="single" w:sz="8" w:space="0" w:color="D9D9D9"/>
              <w:right w:val="single" w:sz="8" w:space="0" w:color="D9D9D9"/>
            </w:tcBorders>
            <w:shd w:val="clear" w:color="auto" w:fill="FFFFFF"/>
          </w:tcPr>
          <w:p w14:paraId="50231C9A" w14:textId="77777777" w:rsidR="00FE1DF0" w:rsidRDefault="00E1399F">
            <w:pPr>
              <w:pStyle w:val="Standard"/>
              <w:widowControl w:val="0"/>
              <w:spacing w:after="0" w:line="240" w:lineRule="auto"/>
              <w:ind w:left="108" w:right="91"/>
              <w:rPr>
                <w:rFonts w:hint="eastAsia"/>
              </w:rPr>
            </w:pPr>
            <w:r>
              <w:rPr>
                <w:rFonts w:ascii="Arial" w:hAnsi="Arial" w:cs="Arial"/>
                <w:b/>
                <w:bCs/>
                <w:color w:val="000000"/>
                <w:sz w:val="20"/>
                <w:szCs w:val="20"/>
              </w:rPr>
              <w:t>1. Prix ( 60 %)</w:t>
            </w:r>
          </w:p>
        </w:tc>
        <w:tc>
          <w:tcPr>
            <w:tcW w:w="5671" w:type="dxa"/>
            <w:tcBorders>
              <w:top w:val="single" w:sz="8" w:space="0" w:color="D9D9D9"/>
              <w:left w:val="single" w:sz="8" w:space="0" w:color="D9D9D9"/>
              <w:bottom w:val="single" w:sz="8" w:space="0" w:color="D9D9D9"/>
              <w:right w:val="single" w:sz="8" w:space="0" w:color="D9D9D9"/>
            </w:tcBorders>
            <w:shd w:val="clear" w:color="auto" w:fill="FFFFFF"/>
          </w:tcPr>
          <w:p w14:paraId="6E0D1702" w14:textId="77777777" w:rsidR="00FE1DF0" w:rsidRDefault="00E1399F">
            <w:pPr>
              <w:pStyle w:val="Standard"/>
              <w:widowControl w:val="0"/>
              <w:spacing w:after="0" w:line="240" w:lineRule="auto"/>
              <w:ind w:left="125" w:right="81"/>
              <w:rPr>
                <w:rFonts w:hint="eastAsia"/>
              </w:rPr>
            </w:pPr>
            <w:r>
              <w:rPr>
                <w:rFonts w:ascii="Arial" w:hAnsi="Arial" w:cs="Arial"/>
                <w:sz w:val="18"/>
                <w:szCs w:val="18"/>
              </w:rPr>
              <w:t>L'analyse du prix porte sur le montant total HT figurant à la DPGF remise par le candidat (tranche ferme). La formule de notation est :</w:t>
            </w:r>
          </w:p>
          <w:p w14:paraId="0738AA7B" w14:textId="77777777" w:rsidR="00FE1DF0" w:rsidRDefault="00E1399F">
            <w:pPr>
              <w:pStyle w:val="Standard"/>
              <w:widowControl w:val="0"/>
              <w:spacing w:after="0" w:line="240" w:lineRule="auto"/>
              <w:ind w:left="125" w:right="81"/>
              <w:rPr>
                <w:rFonts w:hint="eastAsia"/>
              </w:rPr>
            </w:pPr>
            <w:r>
              <w:rPr>
                <w:rFonts w:ascii="Arial" w:hAnsi="Arial" w:cs="Arial"/>
                <w:b/>
                <w:bCs/>
                <w:sz w:val="18"/>
                <w:szCs w:val="18"/>
              </w:rPr>
              <w:t>Note prix = (Prix le plus bas / Prix de l'offre examinée) × 60</w:t>
            </w:r>
          </w:p>
          <w:p w14:paraId="23F0E2D0" w14:textId="77777777" w:rsidR="00FE1DF0" w:rsidRDefault="00FE1DF0">
            <w:pPr>
              <w:pStyle w:val="Standard"/>
              <w:widowControl w:val="0"/>
              <w:spacing w:after="0" w:line="240" w:lineRule="auto"/>
              <w:ind w:left="125" w:right="81"/>
              <w:rPr>
                <w:rFonts w:ascii="Arial" w:hAnsi="Arial" w:cs="Arial"/>
                <w:sz w:val="18"/>
                <w:szCs w:val="18"/>
              </w:rPr>
            </w:pPr>
          </w:p>
          <w:p w14:paraId="6B3A0CE4" w14:textId="77777777" w:rsidR="00FE1DF0" w:rsidRDefault="00E1399F">
            <w:pPr>
              <w:pStyle w:val="Standard"/>
              <w:widowControl w:val="0"/>
              <w:spacing w:after="0" w:line="240" w:lineRule="auto"/>
              <w:ind w:left="125" w:right="81"/>
              <w:rPr>
                <w:rFonts w:hint="eastAsia"/>
              </w:rPr>
            </w:pPr>
            <w:r>
              <w:rPr>
                <w:rFonts w:ascii="Arial" w:hAnsi="Arial" w:cs="Arial"/>
                <w:sz w:val="18"/>
                <w:szCs w:val="18"/>
              </w:rPr>
              <w:t>L'offre financière la moins onéreuse et recevable (pour laquelle il n'a pas été démontré que les prix présentaient un caractère anormalement bas et qui remplit les conditions de recevabilité de la valeur technique) sera créditée du maximum de points.</w:t>
            </w:r>
          </w:p>
          <w:p w14:paraId="2D0D8409" w14:textId="77777777" w:rsidR="00FE1DF0" w:rsidRDefault="00FE1DF0">
            <w:pPr>
              <w:pStyle w:val="Standard"/>
              <w:widowControl w:val="0"/>
              <w:spacing w:after="0" w:line="240" w:lineRule="auto"/>
              <w:ind w:left="125" w:right="81"/>
              <w:rPr>
                <w:rFonts w:ascii="Arial" w:hAnsi="Arial" w:cs="Arial"/>
                <w:sz w:val="18"/>
                <w:szCs w:val="18"/>
              </w:rPr>
            </w:pPr>
          </w:p>
          <w:p w14:paraId="7A8F14D3" w14:textId="77777777" w:rsidR="00FE1DF0" w:rsidRDefault="00E1399F">
            <w:pPr>
              <w:pStyle w:val="Standard"/>
              <w:widowControl w:val="0"/>
              <w:spacing w:after="0" w:line="240" w:lineRule="auto"/>
              <w:ind w:left="125" w:right="81"/>
              <w:rPr>
                <w:rFonts w:hint="eastAsia"/>
                <w:color w:val="000000"/>
              </w:rPr>
            </w:pPr>
            <w:r>
              <w:rPr>
                <w:rFonts w:ascii="Arial" w:hAnsi="Arial" w:cs="Arial"/>
                <w:color w:val="000000"/>
                <w:sz w:val="18"/>
                <w:szCs w:val="18"/>
              </w:rPr>
              <w:t>Les PSE et la tranche optionnelle ne sont pas prises en compte dans le critère prix. Seul le montant de l’offre de base (lots 1 à 12 et 14) et l’offre de la tranche ferme (lot 13)  est retenu.</w:t>
            </w:r>
          </w:p>
          <w:p w14:paraId="5E1ECE66" w14:textId="77777777" w:rsidR="00FE1DF0" w:rsidRDefault="00FE1DF0">
            <w:pPr>
              <w:pStyle w:val="Standard"/>
              <w:widowControl w:val="0"/>
              <w:spacing w:after="0" w:line="240" w:lineRule="auto"/>
              <w:ind w:left="125" w:right="81"/>
              <w:rPr>
                <w:rFonts w:ascii="Arial" w:hAnsi="Arial" w:cs="Arial"/>
                <w:b/>
                <w:color w:val="000000"/>
                <w:sz w:val="18"/>
                <w:szCs w:val="18"/>
              </w:rPr>
            </w:pPr>
          </w:p>
        </w:tc>
      </w:tr>
      <w:tr w:rsidR="00FE1DF0" w14:paraId="12E2252C" w14:textId="77777777">
        <w:tc>
          <w:tcPr>
            <w:tcW w:w="4076" w:type="dxa"/>
            <w:tcBorders>
              <w:top w:val="single" w:sz="8" w:space="0" w:color="D9D9D9"/>
              <w:left w:val="single" w:sz="8" w:space="0" w:color="D9D9D9"/>
              <w:bottom w:val="single" w:sz="8" w:space="0" w:color="D9D9D9"/>
              <w:right w:val="single" w:sz="8" w:space="0" w:color="D9D9D9"/>
            </w:tcBorders>
            <w:shd w:val="clear" w:color="auto" w:fill="FFFFFF"/>
          </w:tcPr>
          <w:p w14:paraId="78E42D69" w14:textId="77777777" w:rsidR="00FE1DF0" w:rsidRDefault="00E1399F">
            <w:pPr>
              <w:pStyle w:val="Standard"/>
              <w:widowControl w:val="0"/>
              <w:spacing w:after="0" w:line="240" w:lineRule="auto"/>
              <w:ind w:left="108" w:right="91"/>
              <w:rPr>
                <w:rFonts w:hint="eastAsia"/>
                <w:color w:val="000000"/>
              </w:rPr>
            </w:pPr>
            <w:r>
              <w:rPr>
                <w:rFonts w:ascii="Arial" w:hAnsi="Arial" w:cs="Arial"/>
                <w:b/>
                <w:bCs/>
                <w:color w:val="000000"/>
                <w:sz w:val="20"/>
                <w:szCs w:val="20"/>
              </w:rPr>
              <w:t>2. Valeur technique (40 %)</w:t>
            </w:r>
          </w:p>
          <w:p w14:paraId="64AF0E4D" w14:textId="77777777" w:rsidR="00FE1DF0" w:rsidRDefault="00FE1DF0">
            <w:pPr>
              <w:pStyle w:val="Standard"/>
              <w:widowControl w:val="0"/>
              <w:spacing w:after="0" w:line="240" w:lineRule="auto"/>
              <w:ind w:left="108" w:right="91"/>
              <w:rPr>
                <w:rFonts w:ascii="Arial" w:hAnsi="Arial" w:cs="Arial"/>
                <w:b/>
                <w:bCs/>
                <w:color w:val="000000"/>
                <w:sz w:val="20"/>
                <w:szCs w:val="20"/>
              </w:rPr>
            </w:pPr>
          </w:p>
        </w:tc>
        <w:tc>
          <w:tcPr>
            <w:tcW w:w="5671" w:type="dxa"/>
            <w:tcBorders>
              <w:top w:val="single" w:sz="8" w:space="0" w:color="D9D9D9"/>
              <w:left w:val="single" w:sz="8" w:space="0" w:color="D9D9D9"/>
              <w:bottom w:val="single" w:sz="8" w:space="0" w:color="D9D9D9"/>
              <w:right w:val="single" w:sz="8" w:space="0" w:color="D9D9D9"/>
            </w:tcBorders>
            <w:shd w:val="clear" w:color="auto" w:fill="FFFFFF"/>
          </w:tcPr>
          <w:p w14:paraId="2AC4953D" w14:textId="77777777" w:rsidR="00FE1DF0" w:rsidRDefault="00E1399F">
            <w:pPr>
              <w:pStyle w:val="Standard"/>
              <w:widowControl w:val="0"/>
              <w:spacing w:after="0" w:line="240" w:lineRule="auto"/>
              <w:ind w:left="125" w:right="81"/>
              <w:rPr>
                <w:rFonts w:hint="eastAsia"/>
                <w:color w:val="000000"/>
              </w:rPr>
            </w:pPr>
            <w:r>
              <w:rPr>
                <w:rFonts w:ascii="Arial" w:hAnsi="Arial" w:cs="Arial"/>
                <w:b/>
                <w:bCs/>
                <w:color w:val="000000"/>
                <w:sz w:val="18"/>
                <w:szCs w:val="18"/>
              </w:rPr>
              <w:t>Valeur technique à hauteur de 40% de la  note finale</w:t>
            </w:r>
            <w:r>
              <w:rPr>
                <w:rFonts w:ascii="Arial" w:hAnsi="Arial" w:cs="Arial"/>
                <w:b/>
                <w:bCs/>
                <w:color w:val="000000"/>
                <w:sz w:val="20"/>
                <w:szCs w:val="20"/>
              </w:rPr>
              <w:t xml:space="preserve"> </w:t>
            </w:r>
            <w:r>
              <w:rPr>
                <w:rFonts w:ascii="Arial" w:hAnsi="Arial" w:cs="Arial"/>
                <w:b/>
                <w:bCs/>
                <w:color w:val="000000"/>
                <w:sz w:val="18"/>
                <w:szCs w:val="18"/>
              </w:rPr>
              <w:t>Évaluée à partir du mémoire technique (5 pages maximum, hors annexes), la valeur technique est notée sur 40 points selon les sous-critères suivants :</w:t>
            </w:r>
          </w:p>
          <w:p w14:paraId="529E02E6" w14:textId="77777777" w:rsidR="00FE1DF0" w:rsidRDefault="00FE1DF0">
            <w:pPr>
              <w:pStyle w:val="Standard"/>
              <w:widowControl w:val="0"/>
              <w:spacing w:after="0" w:line="240" w:lineRule="auto"/>
              <w:ind w:left="125" w:right="81"/>
              <w:rPr>
                <w:rFonts w:ascii="Arial" w:hAnsi="Arial" w:cs="Arial"/>
                <w:color w:val="000000"/>
                <w:sz w:val="18"/>
                <w:szCs w:val="18"/>
              </w:rPr>
            </w:pPr>
          </w:p>
        </w:tc>
      </w:tr>
      <w:tr w:rsidR="00FE1DF0" w14:paraId="7CB6A616" w14:textId="77777777">
        <w:tc>
          <w:tcPr>
            <w:tcW w:w="4076" w:type="dxa"/>
            <w:tcBorders>
              <w:top w:val="single" w:sz="8" w:space="0" w:color="D9D9D9"/>
              <w:left w:val="single" w:sz="8" w:space="0" w:color="D9D9D9"/>
              <w:bottom w:val="single" w:sz="8" w:space="0" w:color="D9D9D9"/>
              <w:right w:val="single" w:sz="8" w:space="0" w:color="D9D9D9"/>
            </w:tcBorders>
            <w:shd w:val="clear" w:color="auto" w:fill="FFFFFF"/>
          </w:tcPr>
          <w:p w14:paraId="08B8C6E1" w14:textId="77777777" w:rsidR="00FE1DF0" w:rsidRDefault="00E1399F">
            <w:pPr>
              <w:pStyle w:val="Standard"/>
              <w:widowControl w:val="0"/>
              <w:spacing w:after="0" w:line="240" w:lineRule="auto"/>
              <w:ind w:left="108" w:right="91"/>
              <w:rPr>
                <w:rFonts w:hint="eastAsia"/>
                <w:shd w:val="clear" w:color="auto" w:fill="FFFFFF"/>
              </w:rPr>
            </w:pPr>
            <w:r>
              <w:rPr>
                <w:rFonts w:ascii="Arial" w:hAnsi="Arial" w:cs="Arial"/>
                <w:b/>
                <w:bCs/>
                <w:color w:val="000000"/>
                <w:sz w:val="18"/>
                <w:szCs w:val="18"/>
                <w:shd w:val="clear" w:color="auto" w:fill="FFFFFF"/>
              </w:rPr>
              <w:t>Qualité des moyens humains et techniques (10 points)</w:t>
            </w:r>
          </w:p>
        </w:tc>
        <w:tc>
          <w:tcPr>
            <w:tcW w:w="5671" w:type="dxa"/>
            <w:tcBorders>
              <w:top w:val="single" w:sz="8" w:space="0" w:color="D9D9D9"/>
              <w:left w:val="single" w:sz="8" w:space="0" w:color="D9D9D9"/>
              <w:bottom w:val="single" w:sz="8" w:space="0" w:color="D9D9D9"/>
              <w:right w:val="single" w:sz="8" w:space="0" w:color="D9D9D9"/>
            </w:tcBorders>
            <w:shd w:val="clear" w:color="auto" w:fill="FFFFFF"/>
          </w:tcPr>
          <w:p w14:paraId="33B25A90" w14:textId="77777777" w:rsidR="00FE1DF0" w:rsidRDefault="00E1399F">
            <w:pPr>
              <w:pStyle w:val="Paragraphedeliste"/>
              <w:widowControl w:val="0"/>
              <w:numPr>
                <w:ilvl w:val="0"/>
                <w:numId w:val="16"/>
              </w:numPr>
              <w:spacing w:after="0" w:line="240" w:lineRule="auto"/>
              <w:ind w:left="720" w:right="81" w:firstLine="0"/>
              <w:rPr>
                <w:rFonts w:hint="eastAsia"/>
              </w:rPr>
            </w:pPr>
            <w:r>
              <w:rPr>
                <w:rFonts w:ascii="Arial" w:hAnsi="Arial" w:cs="Arial"/>
                <w:color w:val="000000"/>
                <w:sz w:val="18"/>
                <w:szCs w:val="18"/>
              </w:rPr>
              <w:t>Présentation des moyens humains dédiés au chantier – Note sur le respect de la clause d'insertion sauf pour les lots  11 – 12 -14 (5 points)</w:t>
            </w:r>
          </w:p>
          <w:p w14:paraId="5C492253" w14:textId="77777777" w:rsidR="00FE1DF0" w:rsidRDefault="00E1399F">
            <w:pPr>
              <w:pStyle w:val="Paragraphedeliste"/>
              <w:widowControl w:val="0"/>
              <w:numPr>
                <w:ilvl w:val="0"/>
                <w:numId w:val="16"/>
              </w:numPr>
              <w:spacing w:after="0" w:line="240" w:lineRule="auto"/>
              <w:ind w:left="720" w:right="81" w:firstLine="0"/>
              <w:rPr>
                <w:rFonts w:hint="eastAsia"/>
                <w:shd w:val="clear" w:color="auto" w:fill="FFFFFF"/>
              </w:rPr>
            </w:pPr>
            <w:r>
              <w:rPr>
                <w:rFonts w:ascii="Arial" w:hAnsi="Arial" w:cs="Arial"/>
                <w:color w:val="000000"/>
                <w:sz w:val="18"/>
                <w:szCs w:val="18"/>
              </w:rPr>
              <w:t>Présentation des moyens mat</w:t>
            </w:r>
            <w:r>
              <w:rPr>
                <w:rFonts w:ascii="Arial" w:hAnsi="Arial" w:cs="Arial"/>
                <w:color w:val="000000"/>
                <w:sz w:val="18"/>
                <w:szCs w:val="18"/>
                <w:shd w:val="clear" w:color="auto" w:fill="FFFFFF"/>
              </w:rPr>
              <w:t>ériels et techniques dédiés au chantier (5 points)</w:t>
            </w:r>
          </w:p>
        </w:tc>
      </w:tr>
      <w:tr w:rsidR="00FE1DF0" w14:paraId="39F0F2E5" w14:textId="77777777">
        <w:tc>
          <w:tcPr>
            <w:tcW w:w="4076" w:type="dxa"/>
            <w:tcBorders>
              <w:top w:val="single" w:sz="8" w:space="0" w:color="D9D9D9"/>
              <w:left w:val="single" w:sz="8" w:space="0" w:color="D9D9D9"/>
              <w:bottom w:val="single" w:sz="8" w:space="0" w:color="D9D9D9"/>
              <w:right w:val="single" w:sz="8" w:space="0" w:color="D9D9D9"/>
            </w:tcBorders>
            <w:shd w:val="clear" w:color="auto" w:fill="FFFFFF"/>
          </w:tcPr>
          <w:p w14:paraId="060E9554" w14:textId="77777777" w:rsidR="00FE1DF0" w:rsidRDefault="00E1399F">
            <w:pPr>
              <w:pStyle w:val="Standard"/>
              <w:widowControl w:val="0"/>
              <w:spacing w:after="0" w:line="240" w:lineRule="auto"/>
              <w:ind w:left="108" w:right="91"/>
              <w:rPr>
                <w:rFonts w:hint="eastAsia"/>
                <w:shd w:val="clear" w:color="auto" w:fill="FFFFFF"/>
              </w:rPr>
            </w:pPr>
            <w:r>
              <w:rPr>
                <w:rFonts w:ascii="Arial" w:hAnsi="Arial" w:cs="Arial"/>
                <w:b/>
                <w:bCs/>
                <w:color w:val="000000"/>
                <w:sz w:val="18"/>
                <w:szCs w:val="18"/>
                <w:shd w:val="clear" w:color="auto" w:fill="FFFFFF"/>
              </w:rPr>
              <w:t>Pertinence de la Méthodologie et organisation (30 points)</w:t>
            </w:r>
          </w:p>
        </w:tc>
        <w:tc>
          <w:tcPr>
            <w:tcW w:w="5671" w:type="dxa"/>
            <w:tcBorders>
              <w:top w:val="single" w:sz="8" w:space="0" w:color="D9D9D9"/>
              <w:left w:val="single" w:sz="8" w:space="0" w:color="D9D9D9"/>
              <w:bottom w:val="single" w:sz="8" w:space="0" w:color="D9D9D9"/>
              <w:right w:val="single" w:sz="8" w:space="0" w:color="D9D9D9"/>
            </w:tcBorders>
            <w:shd w:val="clear" w:color="auto" w:fill="FFFFFF"/>
          </w:tcPr>
          <w:p w14:paraId="78836A64" w14:textId="77777777" w:rsidR="00FE1DF0" w:rsidRDefault="00E1399F">
            <w:pPr>
              <w:pStyle w:val="Paragraphedeliste"/>
              <w:widowControl w:val="0"/>
              <w:numPr>
                <w:ilvl w:val="0"/>
                <w:numId w:val="16"/>
              </w:numPr>
              <w:spacing w:after="0" w:line="240" w:lineRule="auto"/>
              <w:ind w:left="720" w:right="81" w:firstLine="0"/>
              <w:rPr>
                <w:rFonts w:hint="eastAsia"/>
                <w:shd w:val="clear" w:color="auto" w:fill="FFFFFF"/>
              </w:rPr>
            </w:pPr>
            <w:r>
              <w:rPr>
                <w:rFonts w:ascii="Arial" w:hAnsi="Arial" w:cs="Arial"/>
                <w:color w:val="000000"/>
                <w:sz w:val="18"/>
                <w:szCs w:val="18"/>
                <w:shd w:val="clear" w:color="auto" w:fill="FFFFFF"/>
              </w:rPr>
              <w:t>Pertinence de la note sur la compréhension du projet, respect du délai et du planning – enjeux du marché, organisation interne, suivi et respect du planning, continuité des travaux en site occupé (14 points)</w:t>
            </w:r>
          </w:p>
          <w:p w14:paraId="649564FA" w14:textId="77777777" w:rsidR="00FE1DF0" w:rsidRDefault="00E1399F">
            <w:pPr>
              <w:pStyle w:val="Paragraphedeliste"/>
              <w:widowControl w:val="0"/>
              <w:numPr>
                <w:ilvl w:val="0"/>
                <w:numId w:val="16"/>
              </w:numPr>
              <w:spacing w:after="0" w:line="240" w:lineRule="auto"/>
              <w:ind w:left="720" w:right="81" w:firstLine="0"/>
              <w:rPr>
                <w:rFonts w:hint="eastAsia"/>
                <w:shd w:val="clear" w:color="auto" w:fill="FFFFFF"/>
              </w:rPr>
            </w:pPr>
            <w:r>
              <w:rPr>
                <w:rFonts w:ascii="Arial" w:hAnsi="Arial" w:cs="Arial"/>
                <w:color w:val="000000"/>
                <w:sz w:val="18"/>
                <w:szCs w:val="18"/>
                <w:shd w:val="clear" w:color="auto" w:fill="FFFFFF"/>
              </w:rPr>
              <w:t>Qualité technique des produits et équipements proposés (fiches techniques jugées les plus pertinentes par l’entreprise à fournir en pièces jointes) (10 points)</w:t>
            </w:r>
          </w:p>
          <w:p w14:paraId="524FC554" w14:textId="77777777" w:rsidR="00FE1DF0" w:rsidRDefault="00E1399F">
            <w:pPr>
              <w:pStyle w:val="Paragraphedeliste"/>
              <w:widowControl w:val="0"/>
              <w:numPr>
                <w:ilvl w:val="0"/>
                <w:numId w:val="16"/>
              </w:numPr>
              <w:spacing w:after="0" w:line="240" w:lineRule="auto"/>
              <w:ind w:left="720" w:right="81" w:firstLine="0"/>
              <w:rPr>
                <w:rFonts w:hint="eastAsia"/>
                <w:shd w:val="clear" w:color="auto" w:fill="FFFFFF"/>
              </w:rPr>
            </w:pPr>
            <w:r>
              <w:rPr>
                <w:rFonts w:ascii="Arial" w:hAnsi="Arial" w:cs="Arial"/>
                <w:color w:val="000000"/>
                <w:sz w:val="18"/>
                <w:szCs w:val="18"/>
                <w:shd w:val="clear" w:color="auto" w:fill="FFFFFF"/>
              </w:rPr>
              <w:t>Levée de réserves et en GPA : pertinence de l’organisation interne de l’entreprise (interlocuteur à contacter, moyens mis en œuvre,…) (6 points)</w:t>
            </w:r>
          </w:p>
          <w:p w14:paraId="595200AE" w14:textId="77777777" w:rsidR="00FE1DF0" w:rsidRDefault="00FE1DF0">
            <w:pPr>
              <w:pStyle w:val="Standard"/>
              <w:widowControl w:val="0"/>
              <w:spacing w:after="0" w:line="240" w:lineRule="auto"/>
              <w:ind w:right="81"/>
              <w:rPr>
                <w:rFonts w:ascii="Arial" w:hAnsi="Arial" w:cs="Arial"/>
                <w:color w:val="000000"/>
                <w:sz w:val="18"/>
                <w:szCs w:val="18"/>
                <w:shd w:val="clear" w:color="auto" w:fill="FFFFFF"/>
              </w:rPr>
            </w:pPr>
          </w:p>
        </w:tc>
      </w:tr>
    </w:tbl>
    <w:p w14:paraId="6BA3134E"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6A28888D"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300B74BF" w14:textId="77777777" w:rsidR="00FE1DF0" w:rsidRDefault="00E1399F">
      <w:pPr>
        <w:pStyle w:val="Standard"/>
        <w:keepNext/>
        <w:keepLines/>
        <w:widowControl w:val="0"/>
        <w:numPr>
          <w:ilvl w:val="0"/>
          <w:numId w:val="9"/>
        </w:numPr>
        <w:tabs>
          <w:tab w:val="left" w:pos="392"/>
          <w:tab w:val="left" w:pos="828"/>
        </w:tabs>
        <w:spacing w:after="0" w:line="240" w:lineRule="auto"/>
        <w:jc w:val="both"/>
        <w:rPr>
          <w:rFonts w:hint="eastAsia"/>
          <w:shd w:val="clear" w:color="auto" w:fill="FFFFFF"/>
        </w:rPr>
      </w:pPr>
      <w:r>
        <w:rPr>
          <w:rFonts w:ascii="Arial" w:hAnsi="Arial" w:cs="Arial"/>
          <w:b/>
          <w:bCs/>
          <w:color w:val="000000"/>
          <w:sz w:val="20"/>
          <w:szCs w:val="20"/>
          <w:shd w:val="clear" w:color="auto" w:fill="FFFFFF"/>
        </w:rPr>
        <w:t>Limitation du nombre de lots attribués par candidat :</w:t>
      </w:r>
    </w:p>
    <w:p w14:paraId="428A8FF7" w14:textId="77777777" w:rsidR="00FE1DF0" w:rsidRDefault="00FE1DF0">
      <w:pPr>
        <w:pStyle w:val="Standard"/>
        <w:widowControl w:val="0"/>
        <w:tabs>
          <w:tab w:val="left" w:pos="392"/>
        </w:tabs>
        <w:spacing w:after="0" w:line="240" w:lineRule="auto"/>
        <w:ind w:right="111"/>
        <w:jc w:val="both"/>
        <w:rPr>
          <w:rFonts w:ascii="Arial" w:hAnsi="Arial" w:cs="Arial"/>
          <w:color w:val="000000"/>
          <w:sz w:val="12"/>
          <w:szCs w:val="12"/>
          <w:shd w:val="clear" w:color="auto" w:fill="FFFFFF"/>
        </w:rPr>
      </w:pPr>
    </w:p>
    <w:p w14:paraId="58C1C2A2" w14:textId="77777777" w:rsidR="00FE1DF0" w:rsidRDefault="00E1399F">
      <w:pPr>
        <w:pStyle w:val="Standard"/>
        <w:keepLines/>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Sans objet.</w:t>
      </w:r>
    </w:p>
    <w:p w14:paraId="1C549AC5"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shd w:val="clear" w:color="auto" w:fill="FFFFFF"/>
        </w:rPr>
      </w:pPr>
    </w:p>
    <w:p w14:paraId="74C229D7" w14:textId="77777777" w:rsidR="00FE1DF0" w:rsidRDefault="00E1399F">
      <w:pPr>
        <w:pStyle w:val="Standard"/>
        <w:keepNext/>
        <w:keepLines/>
        <w:widowControl w:val="0"/>
        <w:numPr>
          <w:ilvl w:val="0"/>
          <w:numId w:val="10"/>
        </w:numPr>
        <w:tabs>
          <w:tab w:val="left" w:pos="1243"/>
          <w:tab w:val="left" w:pos="1679"/>
          <w:tab w:val="left" w:pos="1768"/>
        </w:tabs>
        <w:spacing w:after="0" w:line="240" w:lineRule="auto"/>
        <w:ind w:left="851" w:firstLine="0"/>
        <w:jc w:val="both"/>
        <w:rPr>
          <w:rFonts w:hint="eastAsia"/>
          <w:shd w:val="clear" w:color="auto" w:fill="FFFFFF"/>
        </w:rPr>
      </w:pPr>
      <w:r>
        <w:rPr>
          <w:rFonts w:ascii="Arial" w:hAnsi="Arial" w:cs="Arial"/>
          <w:b/>
          <w:bCs/>
          <w:color w:val="000000"/>
          <w:sz w:val="20"/>
          <w:szCs w:val="20"/>
          <w:shd w:val="clear" w:color="auto" w:fill="FFFFFF"/>
        </w:rPr>
        <w:t>Erreur dans les prix :</w:t>
      </w:r>
    </w:p>
    <w:p w14:paraId="57CC18BC" w14:textId="77777777" w:rsidR="00FE1DF0" w:rsidRDefault="00FE1DF0">
      <w:pPr>
        <w:pStyle w:val="Standard"/>
        <w:keepNext/>
        <w:keepLines/>
        <w:widowControl w:val="0"/>
        <w:tabs>
          <w:tab w:val="left" w:pos="2181"/>
        </w:tabs>
        <w:spacing w:after="0" w:line="240" w:lineRule="auto"/>
        <w:ind w:left="1353"/>
        <w:jc w:val="both"/>
        <w:rPr>
          <w:rFonts w:ascii="Arial" w:hAnsi="Arial" w:cs="Arial"/>
          <w:shd w:val="clear" w:color="auto" w:fill="FFFFFF"/>
        </w:rPr>
      </w:pPr>
    </w:p>
    <w:p w14:paraId="4BDDD969" w14:textId="77777777" w:rsidR="00FE1DF0" w:rsidRDefault="00E1399F">
      <w:pPr>
        <w:pStyle w:val="Standard"/>
        <w:ind w:left="117" w:right="3"/>
        <w:jc w:val="both"/>
        <w:rPr>
          <w:rFonts w:hint="eastAsia"/>
          <w:shd w:val="clear" w:color="auto" w:fill="FFFFFF"/>
        </w:rPr>
      </w:pPr>
      <w:r>
        <w:rPr>
          <w:rFonts w:ascii="Arial" w:hAnsi="Arial" w:cs="Arial"/>
          <w:sz w:val="20"/>
          <w:shd w:val="clear" w:color="auto" w:fill="FFFFFF"/>
        </w:rPr>
        <w:t>Les erreurs de multiplication, d'addition ou de report qui seraient constatées sont rectifiées pour le jugement des offres. Si le soumissionnaire concerné est sur le point d'être retenu, il sera invité à rectifier les montants de son offre dans le cadre d'une mise au point.</w:t>
      </w:r>
    </w:p>
    <w:p w14:paraId="18EA6751" w14:textId="77777777" w:rsidR="00FE1DF0" w:rsidRDefault="00FE1DF0">
      <w:pPr>
        <w:pStyle w:val="Standard"/>
        <w:keepLines/>
        <w:spacing w:after="0" w:line="240" w:lineRule="auto"/>
        <w:ind w:left="142" w:right="6"/>
        <w:jc w:val="both"/>
        <w:rPr>
          <w:rFonts w:ascii="Arial" w:hAnsi="Arial" w:cs="Arial"/>
          <w:sz w:val="20"/>
        </w:rPr>
      </w:pPr>
    </w:p>
    <w:p w14:paraId="738A3D8E" w14:textId="77777777" w:rsidR="00FE1DF0" w:rsidRDefault="00E1399F">
      <w:pPr>
        <w:pStyle w:val="Standard"/>
        <w:keepNext/>
        <w:keepLines/>
        <w:widowControl w:val="0"/>
        <w:numPr>
          <w:ilvl w:val="0"/>
          <w:numId w:val="10"/>
        </w:numPr>
        <w:tabs>
          <w:tab w:val="left" w:pos="1745"/>
          <w:tab w:val="left" w:pos="2181"/>
          <w:tab w:val="left" w:pos="2270"/>
        </w:tabs>
        <w:spacing w:after="0" w:line="240" w:lineRule="auto"/>
        <w:ind w:left="1353" w:firstLine="0"/>
        <w:jc w:val="both"/>
        <w:rPr>
          <w:rFonts w:hint="eastAsia"/>
        </w:rPr>
      </w:pPr>
      <w:r>
        <w:rPr>
          <w:rFonts w:ascii="Arial" w:hAnsi="Arial" w:cs="Arial"/>
          <w:b/>
          <w:bCs/>
          <w:color w:val="000000"/>
          <w:sz w:val="20"/>
          <w:szCs w:val="20"/>
        </w:rPr>
        <w:lastRenderedPageBreak/>
        <w:t>Motifs de rejet des offres :</w:t>
      </w:r>
    </w:p>
    <w:p w14:paraId="19685418" w14:textId="77777777" w:rsidR="00FE1DF0" w:rsidRDefault="00FE1DF0">
      <w:pPr>
        <w:pStyle w:val="Standard"/>
        <w:widowControl w:val="0"/>
        <w:tabs>
          <w:tab w:val="left" w:pos="509"/>
        </w:tabs>
        <w:spacing w:after="0" w:line="240" w:lineRule="auto"/>
        <w:ind w:left="117" w:right="111"/>
        <w:jc w:val="both"/>
        <w:rPr>
          <w:rFonts w:ascii="Arial" w:hAnsi="Arial" w:cs="Arial"/>
        </w:rPr>
      </w:pPr>
    </w:p>
    <w:tbl>
      <w:tblPr>
        <w:tblW w:w="9747" w:type="dxa"/>
        <w:tblInd w:w="19" w:type="dxa"/>
        <w:tblLayout w:type="fixed"/>
        <w:tblCellMar>
          <w:left w:w="0" w:type="dxa"/>
          <w:right w:w="0" w:type="dxa"/>
        </w:tblCellMar>
        <w:tblLook w:val="0000" w:firstRow="0" w:lastRow="0" w:firstColumn="0" w:lastColumn="0" w:noHBand="0" w:noVBand="0"/>
      </w:tblPr>
      <w:tblGrid>
        <w:gridCol w:w="4749"/>
        <w:gridCol w:w="4998"/>
      </w:tblGrid>
      <w:tr w:rsidR="00FE1DF0" w14:paraId="0177D15B"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526ED896" w14:textId="77777777" w:rsidR="00FE1DF0" w:rsidRDefault="00E1399F">
            <w:pPr>
              <w:pStyle w:val="Standard"/>
              <w:keepLines/>
              <w:widowControl w:val="0"/>
              <w:spacing w:before="60" w:after="60" w:line="240" w:lineRule="auto"/>
              <w:ind w:left="108" w:right="101"/>
              <w:rPr>
                <w:rFonts w:hint="eastAsia"/>
              </w:rPr>
            </w:pPr>
            <w:r>
              <w:rPr>
                <w:rFonts w:ascii="Arial" w:hAnsi="Arial" w:cs="Arial"/>
                <w:b/>
                <w:bCs/>
                <w:color w:val="FFFFFF"/>
                <w:sz w:val="16"/>
                <w:szCs w:val="16"/>
              </w:rPr>
              <w:t>Les offres sont rejetées sans être classées dans les cas suivants :</w:t>
            </w:r>
          </w:p>
        </w:tc>
      </w:tr>
      <w:tr w:rsidR="00FE1DF0" w14:paraId="382EAA63" w14:textId="77777777">
        <w:tc>
          <w:tcPr>
            <w:tcW w:w="4749" w:type="dxa"/>
            <w:tcBorders>
              <w:top w:val="single" w:sz="8" w:space="0" w:color="D9D9D9"/>
              <w:left w:val="single" w:sz="8" w:space="0" w:color="D9D9D9"/>
              <w:right w:val="single" w:sz="8" w:space="0" w:color="D9D9D9"/>
            </w:tcBorders>
            <w:shd w:val="clear" w:color="auto" w:fill="FFFFFF"/>
          </w:tcPr>
          <w:p w14:paraId="6CA741E2" w14:textId="77777777" w:rsidR="00FE1DF0" w:rsidRDefault="00E1399F">
            <w:pPr>
              <w:pStyle w:val="Standard"/>
              <w:widowControl w:val="0"/>
              <w:spacing w:before="40" w:after="40" w:line="240" w:lineRule="auto"/>
              <w:ind w:left="108" w:right="92"/>
              <w:rPr>
                <w:rFonts w:hint="eastAsia"/>
              </w:rPr>
            </w:pPr>
            <w:r>
              <w:rPr>
                <w:rFonts w:ascii="Arial" w:hAnsi="Arial" w:cs="Arial"/>
                <w:color w:val="000000"/>
                <w:sz w:val="16"/>
                <w:szCs w:val="16"/>
              </w:rPr>
              <w:t>Offre hors délai</w:t>
            </w:r>
          </w:p>
        </w:tc>
        <w:tc>
          <w:tcPr>
            <w:tcW w:w="4998" w:type="dxa"/>
            <w:tcBorders>
              <w:top w:val="single" w:sz="8" w:space="0" w:color="D9D9D9"/>
              <w:left w:val="single" w:sz="8" w:space="0" w:color="D9D9D9"/>
              <w:right w:val="single" w:sz="8" w:space="0" w:color="D9D9D9"/>
            </w:tcBorders>
            <w:shd w:val="clear" w:color="auto" w:fill="FFFFFF"/>
          </w:tcPr>
          <w:p w14:paraId="67977349" w14:textId="77777777" w:rsidR="00FE1DF0" w:rsidRDefault="00E1399F">
            <w:pPr>
              <w:pStyle w:val="Standard"/>
              <w:widowControl w:val="0"/>
              <w:spacing w:before="40" w:after="40" w:line="240" w:lineRule="auto"/>
              <w:ind w:left="124" w:right="81"/>
              <w:jc w:val="both"/>
              <w:rPr>
                <w:rFonts w:hint="eastAsia"/>
              </w:rPr>
            </w:pPr>
            <w:r>
              <w:rPr>
                <w:rFonts w:ascii="Arial" w:hAnsi="Arial" w:cs="Arial"/>
                <w:color w:val="595959"/>
                <w:sz w:val="16"/>
                <w:szCs w:val="16"/>
              </w:rPr>
              <w:t>Lorsque le pli est reçu par l’acheteur après la date et l’heure limite fixées dans la consultation.</w:t>
            </w:r>
          </w:p>
        </w:tc>
      </w:tr>
      <w:tr w:rsidR="00FE1DF0" w14:paraId="3D0A9632" w14:textId="77777777">
        <w:tc>
          <w:tcPr>
            <w:tcW w:w="4749" w:type="dxa"/>
            <w:tcBorders>
              <w:left w:val="single" w:sz="8" w:space="0" w:color="D9D9D9"/>
              <w:right w:val="single" w:sz="8" w:space="0" w:color="D9D9D9"/>
            </w:tcBorders>
            <w:shd w:val="clear" w:color="auto" w:fill="FFFFFF"/>
          </w:tcPr>
          <w:p w14:paraId="714B5CE5" w14:textId="77777777" w:rsidR="00FE1DF0" w:rsidRDefault="00E1399F">
            <w:pPr>
              <w:pStyle w:val="Standard"/>
              <w:widowControl w:val="0"/>
              <w:spacing w:before="40" w:after="40" w:line="240" w:lineRule="auto"/>
              <w:ind w:left="108" w:right="92"/>
              <w:rPr>
                <w:rFonts w:hint="eastAsia"/>
              </w:rPr>
            </w:pPr>
            <w:r>
              <w:rPr>
                <w:rFonts w:ascii="Arial" w:hAnsi="Arial" w:cs="Arial"/>
                <w:color w:val="000000"/>
                <w:sz w:val="16"/>
                <w:szCs w:val="16"/>
              </w:rPr>
              <w:t>Offre anormalement basse</w:t>
            </w:r>
          </w:p>
        </w:tc>
        <w:tc>
          <w:tcPr>
            <w:tcW w:w="4998" w:type="dxa"/>
            <w:tcBorders>
              <w:left w:val="single" w:sz="8" w:space="0" w:color="D9D9D9"/>
              <w:right w:val="single" w:sz="8" w:space="0" w:color="D9D9D9"/>
            </w:tcBorders>
            <w:shd w:val="clear" w:color="auto" w:fill="FFFFFF"/>
          </w:tcPr>
          <w:p w14:paraId="7337C196" w14:textId="77777777" w:rsidR="00FE1DF0" w:rsidRDefault="00E1399F">
            <w:pPr>
              <w:pStyle w:val="Standard"/>
              <w:widowControl w:val="0"/>
              <w:spacing w:before="40" w:after="40" w:line="240" w:lineRule="auto"/>
              <w:ind w:left="124" w:right="81"/>
              <w:jc w:val="both"/>
              <w:rPr>
                <w:rFonts w:hint="eastAsia"/>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FE1DF0" w14:paraId="59EB67E9" w14:textId="77777777">
        <w:tc>
          <w:tcPr>
            <w:tcW w:w="4749" w:type="dxa"/>
            <w:tcBorders>
              <w:left w:val="single" w:sz="8" w:space="0" w:color="D9D9D9"/>
              <w:right w:val="single" w:sz="8" w:space="0" w:color="D9D9D9"/>
            </w:tcBorders>
            <w:shd w:val="clear" w:color="auto" w:fill="FFFFFF"/>
          </w:tcPr>
          <w:p w14:paraId="5A30DBFF" w14:textId="77777777" w:rsidR="00FE1DF0" w:rsidRDefault="00E1399F">
            <w:pPr>
              <w:pStyle w:val="Standard"/>
              <w:widowControl w:val="0"/>
              <w:spacing w:before="40" w:after="40" w:line="240" w:lineRule="auto"/>
              <w:ind w:left="108" w:right="92"/>
              <w:rPr>
                <w:rFonts w:hint="eastAsia"/>
              </w:rPr>
            </w:pPr>
            <w:r>
              <w:rPr>
                <w:rFonts w:ascii="Arial" w:hAnsi="Arial" w:cs="Arial"/>
                <w:color w:val="000000"/>
                <w:sz w:val="16"/>
                <w:szCs w:val="16"/>
              </w:rPr>
              <w:t>Offre inappropriée</w:t>
            </w:r>
          </w:p>
        </w:tc>
        <w:tc>
          <w:tcPr>
            <w:tcW w:w="4998" w:type="dxa"/>
            <w:tcBorders>
              <w:left w:val="single" w:sz="8" w:space="0" w:color="D9D9D9"/>
              <w:right w:val="single" w:sz="8" w:space="0" w:color="D9D9D9"/>
            </w:tcBorders>
            <w:shd w:val="clear" w:color="auto" w:fill="FFFFFF"/>
          </w:tcPr>
          <w:p w14:paraId="1F74ABB1" w14:textId="77777777" w:rsidR="00FE1DF0" w:rsidRDefault="00E1399F">
            <w:pPr>
              <w:pStyle w:val="Standard"/>
              <w:widowControl w:val="0"/>
              <w:spacing w:before="40" w:after="40" w:line="240" w:lineRule="auto"/>
              <w:ind w:left="124" w:right="81"/>
              <w:jc w:val="both"/>
              <w:rPr>
                <w:rFonts w:hint="eastAsia"/>
              </w:rPr>
            </w:pPr>
            <w:r>
              <w:rPr>
                <w:rFonts w:ascii="Arial" w:hAnsi="Arial" w:cs="Arial"/>
                <w:color w:val="595959"/>
                <w:sz w:val="16"/>
                <w:szCs w:val="16"/>
              </w:rPr>
              <w:t>L’offre est sans rapport avec les besoins ou exigences exprimés par l’acheteur.</w:t>
            </w:r>
          </w:p>
        </w:tc>
      </w:tr>
      <w:tr w:rsidR="00FE1DF0" w14:paraId="0F5DB873" w14:textId="77777777">
        <w:tc>
          <w:tcPr>
            <w:tcW w:w="4749" w:type="dxa"/>
            <w:tcBorders>
              <w:left w:val="single" w:sz="8" w:space="0" w:color="D9D9D9"/>
              <w:right w:val="single" w:sz="8" w:space="0" w:color="D9D9D9"/>
            </w:tcBorders>
            <w:shd w:val="clear" w:color="auto" w:fill="FFFFFF"/>
          </w:tcPr>
          <w:p w14:paraId="36FE41D8" w14:textId="77777777" w:rsidR="00FE1DF0" w:rsidRDefault="00E1399F">
            <w:pPr>
              <w:pStyle w:val="Standard"/>
              <w:widowControl w:val="0"/>
              <w:spacing w:before="40" w:after="40" w:line="240" w:lineRule="auto"/>
              <w:ind w:left="108" w:right="92"/>
              <w:rPr>
                <w:rFonts w:hint="eastAsia"/>
              </w:rPr>
            </w:pPr>
            <w:r>
              <w:rPr>
                <w:rFonts w:ascii="Arial" w:hAnsi="Arial" w:cs="Arial"/>
                <w:color w:val="000000"/>
                <w:sz w:val="16"/>
                <w:szCs w:val="16"/>
              </w:rPr>
              <w:t>Offre irrégulière</w:t>
            </w:r>
          </w:p>
        </w:tc>
        <w:tc>
          <w:tcPr>
            <w:tcW w:w="4998" w:type="dxa"/>
            <w:tcBorders>
              <w:left w:val="single" w:sz="8" w:space="0" w:color="D9D9D9"/>
              <w:right w:val="single" w:sz="8" w:space="0" w:color="D9D9D9"/>
            </w:tcBorders>
            <w:shd w:val="clear" w:color="auto" w:fill="FFFFFF"/>
          </w:tcPr>
          <w:p w14:paraId="5330BA08" w14:textId="77777777" w:rsidR="00FE1DF0" w:rsidRDefault="00E1399F">
            <w:pPr>
              <w:pStyle w:val="Standard"/>
              <w:widowControl w:val="0"/>
              <w:spacing w:before="40" w:after="40" w:line="240" w:lineRule="auto"/>
              <w:ind w:left="124" w:right="81"/>
              <w:jc w:val="both"/>
              <w:rPr>
                <w:rFonts w:hint="eastAsia"/>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FE1DF0" w14:paraId="7DB302E0" w14:textId="77777777">
        <w:tc>
          <w:tcPr>
            <w:tcW w:w="4749" w:type="dxa"/>
            <w:tcBorders>
              <w:left w:val="single" w:sz="8" w:space="0" w:color="D9D9D9"/>
              <w:bottom w:val="single" w:sz="8" w:space="0" w:color="D9D9D9"/>
              <w:right w:val="single" w:sz="8" w:space="0" w:color="D9D9D9"/>
            </w:tcBorders>
            <w:shd w:val="clear" w:color="auto" w:fill="FFFFFF"/>
          </w:tcPr>
          <w:p w14:paraId="1979CAB4" w14:textId="77777777" w:rsidR="00FE1DF0" w:rsidRDefault="00E1399F">
            <w:pPr>
              <w:pStyle w:val="Standard"/>
              <w:widowControl w:val="0"/>
              <w:spacing w:before="40" w:after="40" w:line="240" w:lineRule="auto"/>
              <w:ind w:left="108" w:right="92"/>
              <w:rPr>
                <w:rFonts w:hint="eastAsia"/>
              </w:rPr>
            </w:pPr>
            <w:r>
              <w:rPr>
                <w:rFonts w:ascii="Arial" w:hAnsi="Arial" w:cs="Arial"/>
                <w:color w:val="000000"/>
                <w:sz w:val="16"/>
                <w:szCs w:val="16"/>
              </w:rPr>
              <w:t>Offre inacceptable</w:t>
            </w:r>
          </w:p>
        </w:tc>
        <w:tc>
          <w:tcPr>
            <w:tcW w:w="4998" w:type="dxa"/>
            <w:tcBorders>
              <w:left w:val="single" w:sz="8" w:space="0" w:color="D9D9D9"/>
              <w:bottom w:val="single" w:sz="8" w:space="0" w:color="D9D9D9"/>
              <w:right w:val="single" w:sz="8" w:space="0" w:color="D9D9D9"/>
            </w:tcBorders>
            <w:shd w:val="clear" w:color="auto" w:fill="FFFFFF"/>
          </w:tcPr>
          <w:p w14:paraId="70621455" w14:textId="77777777" w:rsidR="00FE1DF0" w:rsidRDefault="00E1399F">
            <w:pPr>
              <w:pStyle w:val="Standard"/>
              <w:widowControl w:val="0"/>
              <w:spacing w:before="40" w:after="40" w:line="240" w:lineRule="auto"/>
              <w:ind w:left="124" w:right="81"/>
              <w:jc w:val="both"/>
              <w:rPr>
                <w:rFonts w:hint="eastAsia"/>
              </w:rPr>
            </w:pPr>
            <w:r>
              <w:rPr>
                <w:rFonts w:ascii="Arial" w:hAnsi="Arial" w:cs="Arial"/>
                <w:color w:val="595959"/>
                <w:sz w:val="16"/>
                <w:szCs w:val="16"/>
              </w:rPr>
              <w:t>Le prix excède les crédits budgétaires alloués par l’acheteur au contrat.</w:t>
            </w:r>
          </w:p>
        </w:tc>
      </w:tr>
    </w:tbl>
    <w:p w14:paraId="57825145" w14:textId="77777777" w:rsidR="00FE1DF0" w:rsidRDefault="00FE1DF0">
      <w:pPr>
        <w:pStyle w:val="Standard"/>
        <w:widowControl w:val="0"/>
        <w:tabs>
          <w:tab w:val="left" w:pos="509"/>
        </w:tabs>
        <w:spacing w:after="0" w:line="240" w:lineRule="auto"/>
        <w:ind w:left="117" w:right="111"/>
        <w:jc w:val="both"/>
        <w:rPr>
          <w:rFonts w:ascii="Arial" w:hAnsi="Arial" w:cs="Arial"/>
        </w:rPr>
      </w:pPr>
    </w:p>
    <w:p w14:paraId="3D74B4AF" w14:textId="77777777" w:rsidR="00FE1DF0" w:rsidRDefault="00E1399F">
      <w:pPr>
        <w:pStyle w:val="Standard"/>
        <w:keepNext/>
        <w:keepLines/>
        <w:widowControl w:val="0"/>
        <w:tabs>
          <w:tab w:val="left" w:pos="828"/>
        </w:tabs>
        <w:spacing w:after="0" w:line="240" w:lineRule="auto"/>
        <w:jc w:val="both"/>
        <w:rPr>
          <w:rFonts w:hint="eastAsia"/>
          <w:shd w:val="clear" w:color="auto" w:fill="FFFFFF"/>
        </w:rPr>
      </w:pPr>
      <w:r>
        <w:rPr>
          <w:rFonts w:ascii="Arial" w:hAnsi="Arial" w:cs="Arial"/>
          <w:b/>
          <w:color w:val="000000"/>
          <w:sz w:val="20"/>
          <w:szCs w:val="20"/>
          <w:shd w:val="clear" w:color="auto" w:fill="FFFFFF"/>
        </w:rPr>
        <w:tab/>
      </w:r>
      <w:r>
        <w:rPr>
          <w:rFonts w:ascii="Arial" w:hAnsi="Arial" w:cs="Arial"/>
          <w:b/>
          <w:color w:val="000000"/>
          <w:sz w:val="20"/>
          <w:szCs w:val="20"/>
          <w:u w:val="single"/>
          <w:shd w:val="clear" w:color="auto" w:fill="FFFFFF"/>
        </w:rPr>
        <w:t>Régularisation des offres</w:t>
      </w:r>
      <w:r>
        <w:rPr>
          <w:rFonts w:ascii="Arial" w:hAnsi="Arial" w:cs="Arial"/>
          <w:b/>
          <w:color w:val="000000"/>
          <w:sz w:val="20"/>
          <w:szCs w:val="20"/>
          <w:shd w:val="clear" w:color="auto" w:fill="FFFFFF"/>
        </w:rPr>
        <w:t> :</w:t>
      </w:r>
    </w:p>
    <w:p w14:paraId="414477A3"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color w:val="000000"/>
          <w:sz w:val="20"/>
          <w:szCs w:val="20"/>
          <w:shd w:val="clear" w:color="auto" w:fill="FFFFFF"/>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7AAE8ECA" w14:textId="77777777" w:rsidR="00FE1DF0" w:rsidRDefault="00FE1DF0">
      <w:pPr>
        <w:pStyle w:val="Standard"/>
        <w:widowControl w:val="0"/>
        <w:tabs>
          <w:tab w:val="left" w:pos="392"/>
        </w:tabs>
        <w:spacing w:after="0" w:line="240" w:lineRule="auto"/>
        <w:ind w:right="111"/>
        <w:jc w:val="both"/>
        <w:rPr>
          <w:rFonts w:ascii="Arial" w:hAnsi="Arial" w:cs="Arial"/>
          <w:shd w:val="clear" w:color="auto" w:fill="FFFFFF"/>
        </w:rPr>
      </w:pPr>
    </w:p>
    <w:p w14:paraId="15A8CEC6" w14:textId="77777777" w:rsidR="00FE1DF0" w:rsidRDefault="00E1399F">
      <w:pPr>
        <w:pStyle w:val="Standard"/>
        <w:keepNext/>
        <w:keepLines/>
        <w:widowControl w:val="0"/>
        <w:tabs>
          <w:tab w:val="left" w:pos="828"/>
        </w:tabs>
        <w:spacing w:after="0" w:line="240" w:lineRule="auto"/>
        <w:jc w:val="both"/>
        <w:rPr>
          <w:rFonts w:hint="eastAsia"/>
          <w:shd w:val="clear" w:color="auto" w:fill="FFFFFF"/>
        </w:rPr>
      </w:pPr>
      <w:r>
        <w:rPr>
          <w:rFonts w:ascii="Arial" w:hAnsi="Arial" w:cs="Arial"/>
          <w:b/>
          <w:color w:val="000000"/>
          <w:sz w:val="20"/>
          <w:szCs w:val="20"/>
          <w:shd w:val="clear" w:color="auto" w:fill="FFFFFF"/>
        </w:rPr>
        <w:tab/>
      </w:r>
      <w:r>
        <w:rPr>
          <w:rFonts w:ascii="Arial" w:hAnsi="Arial" w:cs="Arial"/>
          <w:b/>
          <w:color w:val="000000"/>
          <w:sz w:val="20"/>
          <w:szCs w:val="20"/>
          <w:u w:val="single"/>
          <w:shd w:val="clear" w:color="auto" w:fill="FFFFFF"/>
        </w:rPr>
        <w:t>Offres anormalement basses</w:t>
      </w:r>
      <w:r>
        <w:rPr>
          <w:rFonts w:ascii="Arial" w:hAnsi="Arial" w:cs="Arial"/>
          <w:b/>
          <w:color w:val="000000"/>
          <w:sz w:val="20"/>
          <w:szCs w:val="20"/>
          <w:shd w:val="clear" w:color="auto" w:fill="FFFFFF"/>
        </w:rPr>
        <w:t> :</w:t>
      </w:r>
    </w:p>
    <w:p w14:paraId="08115148"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color w:val="000000"/>
          <w:sz w:val="20"/>
          <w:szCs w:val="20"/>
          <w:shd w:val="clear" w:color="auto" w:fill="FFFFFF"/>
        </w:rPr>
        <w:t>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w:t>
      </w:r>
    </w:p>
    <w:p w14:paraId="1B67F859" w14:textId="77777777" w:rsidR="00FE1DF0" w:rsidRDefault="00E1399F">
      <w:pPr>
        <w:pStyle w:val="Standard"/>
        <w:widowControl w:val="0"/>
        <w:spacing w:before="120" w:after="120" w:line="240" w:lineRule="auto"/>
        <w:ind w:left="117"/>
        <w:jc w:val="both"/>
        <w:rPr>
          <w:rFonts w:hint="eastAsia"/>
        </w:rPr>
      </w:pPr>
      <w:r>
        <w:rPr>
          <w:rFonts w:ascii="Arial" w:hAnsi="Arial" w:cs="Arial"/>
          <w:color w:val="000000"/>
          <w:sz w:val="20"/>
          <w:szCs w:val="20"/>
        </w:rPr>
        <w:t>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w:t>
      </w:r>
    </w:p>
    <w:p w14:paraId="7EAF22DA" w14:textId="77777777" w:rsidR="00FE1DF0" w:rsidRDefault="00FE1DF0">
      <w:pPr>
        <w:pStyle w:val="Standard"/>
        <w:widowControl w:val="0"/>
        <w:tabs>
          <w:tab w:val="left" w:pos="509"/>
        </w:tabs>
        <w:spacing w:after="0" w:line="240" w:lineRule="auto"/>
        <w:ind w:left="117" w:right="111"/>
        <w:jc w:val="both"/>
        <w:rPr>
          <w:rFonts w:ascii="Arial" w:hAnsi="Arial" w:cs="Arial"/>
        </w:rPr>
      </w:pPr>
    </w:p>
    <w:p w14:paraId="1FD91210" w14:textId="77777777" w:rsidR="00FE1DF0" w:rsidRDefault="00E1399F">
      <w:pPr>
        <w:pStyle w:val="Standard"/>
        <w:keepNext/>
        <w:keepLines/>
        <w:widowControl w:val="0"/>
        <w:tabs>
          <w:tab w:val="left" w:pos="1254"/>
        </w:tabs>
        <w:spacing w:after="0" w:line="240" w:lineRule="auto"/>
        <w:ind w:left="426"/>
        <w:jc w:val="both"/>
        <w:rPr>
          <w:rFonts w:hint="eastAsia"/>
        </w:rPr>
      </w:pPr>
      <w:r>
        <w:rPr>
          <w:rFonts w:ascii="Arial" w:hAnsi="Arial" w:cs="Arial"/>
          <w:b/>
          <w:bCs/>
          <w:sz w:val="20"/>
          <w:szCs w:val="20"/>
        </w:rPr>
        <w:t>Négociations :</w:t>
      </w:r>
    </w:p>
    <w:p w14:paraId="6596B5DE" w14:textId="77777777" w:rsidR="00FE1DF0" w:rsidRDefault="00E1399F">
      <w:pPr>
        <w:pStyle w:val="Standard"/>
        <w:widowControl w:val="0"/>
        <w:spacing w:before="120" w:after="120" w:line="240" w:lineRule="auto"/>
        <w:ind w:left="117"/>
        <w:jc w:val="both"/>
        <w:rPr>
          <w:rFonts w:hint="eastAsia"/>
        </w:rPr>
      </w:pPr>
      <w:r>
        <w:rPr>
          <w:rFonts w:ascii="Arial" w:hAnsi="Arial" w:cs="Arial"/>
          <w:sz w:val="20"/>
          <w:szCs w:val="20"/>
        </w:rPr>
        <w:t>Les candidats sont invités à remettre d'emblée leur meilleure proposition. L'acheteur se réserve la possibilité d'engager des négociations dans les conditions suivantes :</w:t>
      </w:r>
    </w:p>
    <w:p w14:paraId="61CBFF7B" w14:textId="77777777" w:rsidR="00FE1DF0" w:rsidRDefault="00E1399F">
      <w:pPr>
        <w:pStyle w:val="Standard"/>
        <w:widowControl w:val="0"/>
        <w:spacing w:before="120" w:after="120" w:line="240" w:lineRule="auto"/>
        <w:ind w:left="117"/>
        <w:jc w:val="both"/>
        <w:rPr>
          <w:rFonts w:hint="eastAsia"/>
        </w:rPr>
      </w:pPr>
      <w:r>
        <w:rPr>
          <w:rFonts w:ascii="Arial" w:hAnsi="Arial" w:cs="Arial"/>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6A14F8DC"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sz w:val="20"/>
          <w:szCs w:val="20"/>
          <w:shd w:val="clear" w:color="auto" w:fill="FFFFFF"/>
        </w:rPr>
        <w:t>En cas de négociation, le Pouvoir Adjudicateur n’est pas tenu d'en informer l'ensemble des candidats et pourra limiter la négociation au(x) candidat(s) ayant présenté la/ les) meilleure(s) offre(s) initiale(s).</w:t>
      </w:r>
    </w:p>
    <w:p w14:paraId="419BEE55" w14:textId="77777777" w:rsidR="00FE1DF0" w:rsidRDefault="00E1399F">
      <w:pPr>
        <w:pStyle w:val="Standard"/>
        <w:widowControl w:val="0"/>
        <w:spacing w:before="120" w:after="120" w:line="240" w:lineRule="auto"/>
        <w:ind w:left="117"/>
        <w:jc w:val="both"/>
        <w:rPr>
          <w:rFonts w:hint="eastAsia"/>
          <w:shd w:val="clear" w:color="auto" w:fill="FFFFFF"/>
        </w:rPr>
      </w:pPr>
      <w:r>
        <w:rPr>
          <w:rFonts w:ascii="Arial" w:hAnsi="Arial" w:cs="Arial"/>
          <w:sz w:val="20"/>
          <w:szCs w:val="20"/>
          <w:shd w:val="clear" w:color="auto" w:fill="FFFFFF"/>
        </w:rPr>
        <w:t>En effet, les soumissionnaires ayant remis des offres trop éloignées des attentes du pouvoir adjudicateur au regard des critères d’analyse des offres ne seront pas admis à la négociation.</w:t>
      </w:r>
    </w:p>
    <w:p w14:paraId="161307A0" w14:textId="77777777" w:rsidR="00FE1DF0" w:rsidRDefault="00E1399F">
      <w:pPr>
        <w:pStyle w:val="Standard"/>
        <w:widowControl w:val="0"/>
        <w:spacing w:before="120" w:after="120" w:line="240" w:lineRule="auto"/>
        <w:ind w:left="117"/>
        <w:jc w:val="both"/>
        <w:rPr>
          <w:rFonts w:hint="eastAsia"/>
        </w:rPr>
      </w:pPr>
      <w:r>
        <w:rPr>
          <w:rFonts w:ascii="Arial" w:hAnsi="Arial" w:cs="Arial"/>
          <w:sz w:val="20"/>
          <w:szCs w:val="20"/>
        </w:rPr>
        <w:t>Les offres irrégulières ou inacceptables peuvent devenir régulières ou acceptables au cours de la négociation, sauf les offres anormalement basses qui ne peuvent faire l’objet d’une négociation.</w:t>
      </w:r>
    </w:p>
    <w:p w14:paraId="7318494F" w14:textId="77777777" w:rsidR="00FE1DF0" w:rsidRDefault="00E1399F">
      <w:pPr>
        <w:pStyle w:val="Standard"/>
        <w:widowControl w:val="0"/>
        <w:spacing w:before="120" w:after="120" w:line="240" w:lineRule="auto"/>
        <w:ind w:firstLine="117"/>
        <w:jc w:val="both"/>
        <w:rPr>
          <w:rFonts w:hint="eastAsia"/>
        </w:rPr>
      </w:pPr>
      <w:r>
        <w:rPr>
          <w:rFonts w:ascii="Arial" w:hAnsi="Arial" w:cs="Arial"/>
          <w:sz w:val="20"/>
          <w:szCs w:val="20"/>
          <w:u w:val="single"/>
        </w:rPr>
        <w:t>Déroulé des négociations</w:t>
      </w:r>
      <w:r>
        <w:rPr>
          <w:rFonts w:ascii="Arial" w:hAnsi="Arial" w:cs="Arial"/>
          <w:sz w:val="20"/>
          <w:szCs w:val="20"/>
        </w:rPr>
        <w:t> :</w:t>
      </w:r>
    </w:p>
    <w:p w14:paraId="05C140C8" w14:textId="77777777" w:rsidR="00FE1DF0" w:rsidRDefault="00E1399F">
      <w:pPr>
        <w:pStyle w:val="Standard"/>
        <w:widowControl w:val="0"/>
        <w:spacing w:before="120" w:after="120" w:line="240" w:lineRule="auto"/>
        <w:ind w:firstLine="117"/>
        <w:jc w:val="both"/>
        <w:rPr>
          <w:rFonts w:hint="eastAsia"/>
        </w:rPr>
      </w:pPr>
      <w:r>
        <w:rPr>
          <w:rFonts w:ascii="Arial" w:hAnsi="Arial" w:cs="Arial"/>
          <w:sz w:val="20"/>
          <w:szCs w:val="20"/>
        </w:rPr>
        <w:t>Les candidats en seront avisés par écrit.</w:t>
      </w:r>
    </w:p>
    <w:p w14:paraId="61DEED7B" w14:textId="77777777" w:rsidR="00FE1DF0" w:rsidRDefault="00E1399F">
      <w:pPr>
        <w:pStyle w:val="Standard"/>
        <w:widowControl w:val="0"/>
        <w:spacing w:before="120" w:after="120" w:line="240" w:lineRule="auto"/>
        <w:ind w:left="117"/>
        <w:jc w:val="both"/>
        <w:rPr>
          <w:rFonts w:hint="eastAsia"/>
        </w:rPr>
      </w:pPr>
      <w:r>
        <w:rPr>
          <w:rFonts w:ascii="Arial" w:hAnsi="Arial" w:cs="Arial"/>
          <w:sz w:val="20"/>
          <w:szCs w:val="20"/>
        </w:rPr>
        <w:t xml:space="preserve">Les négociations seront conduites dans le respect des principes d'égalité de traitement des candidats et de confidentialité des offres. Les négociations seront conduites par tout moyen de communication (entretien, téléphone, courriel,...) ou de manière dématérialisée sur le profil acheteur uniquement.  Les </w:t>
      </w:r>
      <w:r>
        <w:rPr>
          <w:rFonts w:ascii="Arial" w:hAnsi="Arial" w:cs="Arial"/>
          <w:sz w:val="20"/>
          <w:szCs w:val="20"/>
        </w:rPr>
        <w:lastRenderedPageBreak/>
        <w:t>échanges résultant de la négociation seront formalisés par écrit. A l'achèvement des négociations, les offres négociées feront l'objet d'un dernier classement.</w:t>
      </w:r>
    </w:p>
    <w:p w14:paraId="404963B2" w14:textId="77777777" w:rsidR="00FE1DF0" w:rsidRDefault="00FE1DF0">
      <w:pPr>
        <w:pStyle w:val="Standard"/>
        <w:widowControl w:val="0"/>
        <w:tabs>
          <w:tab w:val="left" w:pos="509"/>
        </w:tabs>
        <w:spacing w:after="0" w:line="240" w:lineRule="auto"/>
        <w:ind w:left="117" w:right="111"/>
        <w:jc w:val="both"/>
        <w:rPr>
          <w:rFonts w:ascii="Arial" w:hAnsi="Arial" w:cs="Arial"/>
        </w:rPr>
      </w:pPr>
    </w:p>
    <w:p w14:paraId="5A827F9A" w14:textId="77777777" w:rsidR="00FE1DF0" w:rsidRDefault="00FE1DF0">
      <w:pPr>
        <w:pStyle w:val="Standard"/>
        <w:keepLines/>
        <w:widowControl w:val="0"/>
        <w:tabs>
          <w:tab w:val="left" w:pos="534"/>
        </w:tabs>
        <w:spacing w:after="0" w:line="240" w:lineRule="auto"/>
        <w:ind w:left="142" w:right="111"/>
        <w:jc w:val="both"/>
        <w:rPr>
          <w:rFonts w:ascii="Arial" w:hAnsi="Arial" w:cs="Arial"/>
          <w:color w:val="000000"/>
          <w:sz w:val="20"/>
          <w:szCs w:val="20"/>
        </w:rPr>
      </w:pPr>
    </w:p>
    <w:p w14:paraId="5B660BEA" w14:textId="77777777" w:rsidR="00FE1DF0" w:rsidRDefault="00E1399F">
      <w:pPr>
        <w:pStyle w:val="Standard"/>
        <w:keepNext/>
        <w:keepLines/>
        <w:widowControl w:val="0"/>
        <w:numPr>
          <w:ilvl w:val="0"/>
          <w:numId w:val="9"/>
        </w:numPr>
        <w:tabs>
          <w:tab w:val="left" w:pos="534"/>
          <w:tab w:val="left" w:pos="970"/>
        </w:tabs>
        <w:spacing w:after="0" w:line="240" w:lineRule="auto"/>
        <w:ind w:left="142" w:firstLine="0"/>
        <w:jc w:val="both"/>
        <w:rPr>
          <w:rFonts w:hint="eastAsia"/>
        </w:rPr>
      </w:pPr>
      <w:r>
        <w:rPr>
          <w:rFonts w:ascii="Arial" w:hAnsi="Arial" w:cs="Arial"/>
          <w:b/>
          <w:bCs/>
          <w:color w:val="000000"/>
          <w:sz w:val="20"/>
          <w:szCs w:val="20"/>
        </w:rPr>
        <w:t>Justificatifs à produire par l’attributaire :</w:t>
      </w:r>
    </w:p>
    <w:p w14:paraId="74E3E918" w14:textId="77777777" w:rsidR="00FE1DF0" w:rsidRDefault="00FE1DF0">
      <w:pPr>
        <w:pStyle w:val="Standard"/>
        <w:keepNext/>
        <w:keepLines/>
        <w:widowControl w:val="0"/>
        <w:tabs>
          <w:tab w:val="left" w:pos="970"/>
        </w:tabs>
        <w:spacing w:after="0" w:line="240" w:lineRule="auto"/>
        <w:ind w:left="142"/>
        <w:jc w:val="both"/>
        <w:rPr>
          <w:rFonts w:ascii="Arial" w:hAnsi="Arial" w:cs="Arial"/>
          <w:b/>
          <w:bCs/>
          <w:color w:val="000000"/>
          <w:sz w:val="20"/>
          <w:szCs w:val="20"/>
        </w:rPr>
      </w:pPr>
    </w:p>
    <w:p w14:paraId="66723CCC" w14:textId="77777777" w:rsidR="00FE1DF0" w:rsidRDefault="00E1399F">
      <w:pPr>
        <w:pStyle w:val="Standard"/>
        <w:widowControl w:val="0"/>
        <w:tabs>
          <w:tab w:val="left" w:pos="284"/>
        </w:tabs>
        <w:spacing w:after="0" w:line="240" w:lineRule="auto"/>
        <w:ind w:left="142" w:right="113"/>
        <w:jc w:val="both"/>
        <w:rPr>
          <w:rFonts w:hint="eastAsia"/>
          <w:shd w:val="clear" w:color="auto" w:fill="FFFFFF"/>
        </w:rPr>
      </w:pPr>
      <w:r>
        <w:rPr>
          <w:rFonts w:ascii="Arial" w:hAnsi="Arial" w:cs="Arial"/>
          <w:color w:val="000000"/>
          <w:sz w:val="20"/>
          <w:szCs w:val="20"/>
          <w:shd w:val="clear" w:color="auto" w:fill="FFFFFF"/>
        </w:rPr>
        <w:t>Le soumissionnaire auquel il est envisagé d'attribuer le marché public disposera d'un délai de cinq (5) jours francs à compter de la date d'envoi de la demande pour fournir les pièces suivantes :</w:t>
      </w:r>
    </w:p>
    <w:p w14:paraId="47933A59" w14:textId="77777777" w:rsidR="00FE1DF0" w:rsidRDefault="00FE1DF0">
      <w:pPr>
        <w:pStyle w:val="Standard"/>
        <w:keepLines/>
        <w:widowControl w:val="0"/>
        <w:tabs>
          <w:tab w:val="left" w:pos="534"/>
        </w:tabs>
        <w:spacing w:after="0" w:line="240" w:lineRule="auto"/>
        <w:ind w:left="142" w:right="113"/>
        <w:jc w:val="both"/>
        <w:rPr>
          <w:rFonts w:ascii="Arial" w:hAnsi="Arial" w:cs="Arial"/>
          <w:color w:val="000000"/>
          <w:sz w:val="20"/>
          <w:szCs w:val="20"/>
          <w:shd w:val="clear" w:color="auto" w:fill="FFFFFF"/>
        </w:rPr>
      </w:pPr>
    </w:p>
    <w:p w14:paraId="763232CF" w14:textId="77777777" w:rsidR="00FE1DF0" w:rsidRDefault="00E1399F">
      <w:pPr>
        <w:pStyle w:val="Standard"/>
        <w:widowControl w:val="0"/>
        <w:tabs>
          <w:tab w:val="left" w:pos="284"/>
        </w:tabs>
        <w:spacing w:after="0" w:line="240" w:lineRule="auto"/>
        <w:ind w:left="142" w:right="113"/>
        <w:jc w:val="both"/>
        <w:rPr>
          <w:rFonts w:hint="eastAsia"/>
          <w:shd w:val="clear" w:color="auto" w:fill="FFFFFF"/>
        </w:rPr>
      </w:pPr>
      <w:r>
        <w:rPr>
          <w:rFonts w:ascii="Arial" w:hAnsi="Arial" w:cs="Arial"/>
          <w:color w:val="000000"/>
          <w:sz w:val="20"/>
          <w:szCs w:val="20"/>
          <w:shd w:val="clear" w:color="auto" w:fill="FFFFFF"/>
        </w:rPr>
        <w:t>1° Les certificats et attestations des articles R 2143-6 à R 2143-10 et R 2143-16 du Code de la Commande Publique,</w:t>
      </w:r>
    </w:p>
    <w:p w14:paraId="7ED41E2A" w14:textId="77777777" w:rsidR="00FE1DF0" w:rsidRDefault="00E1399F">
      <w:pPr>
        <w:pStyle w:val="Standard"/>
        <w:widowControl w:val="0"/>
        <w:tabs>
          <w:tab w:val="left" w:pos="284"/>
        </w:tabs>
        <w:spacing w:after="0" w:line="240" w:lineRule="auto"/>
        <w:ind w:left="142" w:right="113"/>
        <w:jc w:val="both"/>
        <w:rPr>
          <w:rFonts w:hint="eastAsia"/>
          <w:shd w:val="clear" w:color="auto" w:fill="FFFFFF"/>
        </w:rPr>
      </w:pPr>
      <w:r>
        <w:rPr>
          <w:rFonts w:ascii="Arial" w:hAnsi="Arial" w:cs="Arial"/>
          <w:color w:val="000000"/>
          <w:sz w:val="20"/>
          <w:szCs w:val="20"/>
          <w:shd w:val="clear" w:color="auto" w:fill="FFFFFF"/>
        </w:rPr>
        <w:t>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w:t>
      </w:r>
    </w:p>
    <w:p w14:paraId="2A9631E9" w14:textId="77777777" w:rsidR="00FE1DF0" w:rsidRDefault="00E1399F">
      <w:pPr>
        <w:pStyle w:val="Standard"/>
        <w:widowControl w:val="0"/>
        <w:tabs>
          <w:tab w:val="left" w:pos="284"/>
        </w:tabs>
        <w:spacing w:after="0" w:line="240" w:lineRule="auto"/>
        <w:ind w:left="142" w:right="113"/>
        <w:jc w:val="both"/>
        <w:rPr>
          <w:rFonts w:hint="eastAsia"/>
          <w:shd w:val="clear" w:color="auto" w:fill="FFFFFF"/>
        </w:rPr>
      </w:pPr>
      <w:r>
        <w:rPr>
          <w:rFonts w:ascii="Arial" w:hAnsi="Arial" w:cs="Arial"/>
          <w:color w:val="000000"/>
          <w:sz w:val="20"/>
          <w:szCs w:val="20"/>
          <w:shd w:val="clear" w:color="auto" w:fill="FFFFFF"/>
        </w:rPr>
        <w:t>2° les pouvoirs de la personne habilitée à engager le candidat,</w:t>
      </w:r>
    </w:p>
    <w:p w14:paraId="5F058CD6" w14:textId="77777777" w:rsidR="00FE1DF0" w:rsidRDefault="00E1399F">
      <w:pPr>
        <w:pStyle w:val="Standard"/>
        <w:widowControl w:val="0"/>
        <w:tabs>
          <w:tab w:val="left" w:pos="284"/>
        </w:tabs>
        <w:spacing w:after="0" w:line="240" w:lineRule="auto"/>
        <w:ind w:left="142" w:right="113"/>
        <w:jc w:val="both"/>
        <w:rPr>
          <w:rFonts w:hint="eastAsia"/>
          <w:shd w:val="clear" w:color="auto" w:fill="FFFFFF"/>
        </w:rPr>
      </w:pPr>
      <w:r>
        <w:rPr>
          <w:rFonts w:ascii="Arial" w:hAnsi="Arial" w:cs="Arial"/>
          <w:color w:val="000000"/>
          <w:sz w:val="20"/>
          <w:szCs w:val="20"/>
          <w:shd w:val="clear" w:color="auto" w:fill="FFFFFF"/>
        </w:rPr>
        <w:t>3° l'acte d'engagement signé dûment complété prenant en compte la mise au point le cas échéant,</w:t>
      </w:r>
    </w:p>
    <w:p w14:paraId="72F8DBBC" w14:textId="77777777" w:rsidR="00FE1DF0" w:rsidRDefault="00E1399F">
      <w:pPr>
        <w:pStyle w:val="Standard"/>
        <w:widowControl w:val="0"/>
        <w:tabs>
          <w:tab w:val="left" w:pos="284"/>
        </w:tabs>
        <w:spacing w:after="0" w:line="240" w:lineRule="auto"/>
        <w:ind w:left="142" w:right="113"/>
        <w:jc w:val="both"/>
        <w:rPr>
          <w:rFonts w:hint="eastAsia"/>
          <w:shd w:val="clear" w:color="auto" w:fill="FFFFFF"/>
        </w:rPr>
      </w:pPr>
      <w:r>
        <w:rPr>
          <w:rFonts w:ascii="Arial" w:hAnsi="Arial" w:cs="Arial"/>
          <w:color w:val="000000"/>
          <w:sz w:val="20"/>
          <w:szCs w:val="20"/>
          <w:shd w:val="clear" w:color="auto" w:fill="FFFFFF"/>
        </w:rPr>
        <w:t>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w:t>
      </w:r>
    </w:p>
    <w:p w14:paraId="5012AE03" w14:textId="77777777" w:rsidR="00FE1DF0" w:rsidRDefault="00E1399F">
      <w:pPr>
        <w:pStyle w:val="Standard"/>
        <w:widowControl w:val="0"/>
        <w:tabs>
          <w:tab w:val="left" w:pos="284"/>
        </w:tabs>
        <w:spacing w:after="0" w:line="240" w:lineRule="auto"/>
        <w:ind w:left="142" w:right="113"/>
        <w:jc w:val="both"/>
        <w:rPr>
          <w:rFonts w:hint="eastAsia"/>
          <w:shd w:val="clear" w:color="auto" w:fill="FFFFFF"/>
        </w:rPr>
      </w:pPr>
      <w:r>
        <w:rPr>
          <w:rFonts w:ascii="Arial" w:hAnsi="Arial" w:cs="Arial"/>
          <w:color w:val="000000"/>
          <w:sz w:val="20"/>
          <w:szCs w:val="20"/>
          <w:shd w:val="clear" w:color="auto" w:fill="FFFFFF"/>
        </w:rPr>
        <w:t>5° le cas échéant, une copie de son attestation d'assurance décennale conformément à l'article L 241-1 du Code des assurances,</w:t>
      </w:r>
    </w:p>
    <w:p w14:paraId="77AA8686" w14:textId="77777777" w:rsidR="00FE1DF0" w:rsidRDefault="00E1399F">
      <w:pPr>
        <w:pStyle w:val="Standard"/>
        <w:widowControl w:val="0"/>
        <w:tabs>
          <w:tab w:val="left" w:pos="284"/>
        </w:tabs>
        <w:spacing w:after="0" w:line="240" w:lineRule="auto"/>
        <w:ind w:left="142" w:right="113"/>
        <w:jc w:val="both"/>
        <w:rPr>
          <w:rFonts w:hint="eastAsia"/>
          <w:shd w:val="clear" w:color="auto" w:fill="FFFFFF"/>
        </w:rPr>
      </w:pPr>
      <w:r>
        <w:rPr>
          <w:rFonts w:ascii="Arial" w:hAnsi="Arial" w:cs="Arial"/>
          <w:color w:val="000000"/>
          <w:sz w:val="20"/>
          <w:szCs w:val="20"/>
          <w:shd w:val="clear" w:color="auto" w:fill="FFFFFF"/>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p>
    <w:p w14:paraId="63F7AFEC" w14:textId="77777777" w:rsidR="00FE1DF0" w:rsidRDefault="00E1399F">
      <w:pPr>
        <w:pStyle w:val="Standard"/>
        <w:widowControl w:val="0"/>
        <w:tabs>
          <w:tab w:val="left" w:pos="284"/>
        </w:tabs>
        <w:spacing w:after="0" w:line="240" w:lineRule="auto"/>
        <w:ind w:left="142" w:right="113"/>
        <w:jc w:val="both"/>
        <w:rPr>
          <w:rFonts w:hint="eastAsia"/>
          <w:shd w:val="clear" w:color="auto" w:fill="FFFFFF"/>
        </w:rPr>
      </w:pPr>
      <w:r>
        <w:rPr>
          <w:rFonts w:ascii="Arial" w:hAnsi="Arial" w:cs="Arial"/>
          <w:color w:val="000000"/>
          <w:sz w:val="20"/>
          <w:szCs w:val="20"/>
          <w:shd w:val="clear" w:color="auto" w:fill="FFFFFF"/>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p>
    <w:p w14:paraId="3024EAA5" w14:textId="77777777" w:rsidR="00FE1DF0" w:rsidRDefault="00E1399F">
      <w:pPr>
        <w:pStyle w:val="Standard"/>
        <w:keepNext/>
        <w:keepLines/>
        <w:widowControl w:val="0"/>
        <w:numPr>
          <w:ilvl w:val="0"/>
          <w:numId w:val="12"/>
        </w:numPr>
        <w:tabs>
          <w:tab w:val="left" w:pos="465"/>
        </w:tabs>
        <w:spacing w:before="400" w:after="0" w:line="240" w:lineRule="auto"/>
        <w:jc w:val="both"/>
        <w:rPr>
          <w:rFonts w:hint="eastAsia"/>
          <w:shd w:val="clear" w:color="auto" w:fill="FFFFFF"/>
        </w:rPr>
      </w:pPr>
      <w:r>
        <w:rPr>
          <w:rFonts w:ascii="Arial" w:hAnsi="Arial" w:cs="Arial"/>
          <w:b/>
          <w:bCs/>
          <w:color w:val="595959"/>
          <w:sz w:val="28"/>
          <w:szCs w:val="28"/>
          <w:shd w:val="clear" w:color="auto" w:fill="FFFFFF"/>
        </w:rPr>
        <w:t>VOIES ET DELAIS DE RECOURS</w:t>
      </w:r>
    </w:p>
    <w:p w14:paraId="134A83BA" w14:textId="77777777" w:rsidR="00FE1DF0" w:rsidRDefault="00FE1DF0">
      <w:pPr>
        <w:pStyle w:val="Standard"/>
        <w:keepNext/>
        <w:keepLines/>
        <w:widowControl w:val="0"/>
        <w:pBdr>
          <w:bottom w:val="single" w:sz="4" w:space="1" w:color="D9D9D9"/>
        </w:pBdr>
        <w:spacing w:after="0" w:line="240" w:lineRule="auto"/>
        <w:ind w:left="117" w:right="111"/>
        <w:jc w:val="both"/>
        <w:rPr>
          <w:rFonts w:ascii="Arial" w:hAnsi="Arial" w:cs="Arial"/>
          <w:color w:val="000000"/>
          <w:sz w:val="2"/>
          <w:szCs w:val="2"/>
          <w:shd w:val="clear" w:color="auto" w:fill="FFFFFF"/>
        </w:rPr>
      </w:pPr>
    </w:p>
    <w:p w14:paraId="2CAC2A7F"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shd w:val="clear" w:color="auto" w:fill="FFFFFF"/>
        </w:rPr>
      </w:pPr>
    </w:p>
    <w:p w14:paraId="63E71F41" w14:textId="77777777" w:rsidR="00FE1DF0" w:rsidRDefault="00FE1DF0">
      <w:pPr>
        <w:pStyle w:val="Standard"/>
        <w:keepLines/>
        <w:widowControl w:val="0"/>
        <w:tabs>
          <w:tab w:val="left" w:pos="392"/>
        </w:tabs>
        <w:spacing w:after="0" w:line="240" w:lineRule="auto"/>
        <w:ind w:right="111"/>
        <w:jc w:val="both"/>
        <w:rPr>
          <w:rFonts w:ascii="Arial" w:hAnsi="Arial" w:cs="Arial"/>
          <w:color w:val="000000"/>
          <w:sz w:val="12"/>
          <w:szCs w:val="12"/>
          <w:shd w:val="clear" w:color="auto" w:fill="FFFFFF"/>
        </w:rPr>
      </w:pPr>
    </w:p>
    <w:p w14:paraId="34A6E7A4" w14:textId="77777777" w:rsidR="00FE1DF0" w:rsidRDefault="00E1399F">
      <w:pPr>
        <w:pStyle w:val="Standard"/>
        <w:keepLines/>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Les recours contentieux ouverts aux candidats sont les suivants :</w:t>
      </w:r>
    </w:p>
    <w:p w14:paraId="02114F0E"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shd w:val="clear" w:color="auto" w:fill="FFFFFF"/>
        </w:rPr>
      </w:pPr>
    </w:p>
    <w:p w14:paraId="6D1282B5" w14:textId="77777777" w:rsidR="00FE1DF0" w:rsidRDefault="00E1399F">
      <w:pPr>
        <w:pStyle w:val="Standard"/>
        <w:keepLines/>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 Référé précontractuel avant la signature du contrat (articles L.551-1 à 12 du Code de Justice Administrative) ;</w:t>
      </w:r>
    </w:p>
    <w:p w14:paraId="7A2D438D" w14:textId="77777777" w:rsidR="00FE1DF0" w:rsidRDefault="00E1399F">
      <w:pPr>
        <w:pStyle w:val="Standard"/>
        <w:keepLines/>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35857B6C" w14:textId="77777777" w:rsidR="00FE1DF0" w:rsidRDefault="00E1399F">
      <w:pPr>
        <w:pStyle w:val="Standard"/>
        <w:keepLines/>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5CDCBA2C"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shd w:val="clear" w:color="auto" w:fill="FFFFFF"/>
        </w:rPr>
      </w:pPr>
    </w:p>
    <w:p w14:paraId="1ADEFEF5" w14:textId="77777777" w:rsidR="00FE1DF0" w:rsidRDefault="00E1399F">
      <w:pPr>
        <w:pStyle w:val="Standard"/>
        <w:keepLines/>
        <w:widowControl w:val="0"/>
        <w:tabs>
          <w:tab w:val="left" w:pos="509"/>
        </w:tabs>
        <w:spacing w:after="0" w:line="240" w:lineRule="auto"/>
        <w:ind w:left="117" w:right="111"/>
        <w:jc w:val="both"/>
        <w:rPr>
          <w:rFonts w:hint="eastAsia"/>
        </w:rPr>
      </w:pPr>
      <w:r>
        <w:rPr>
          <w:rFonts w:ascii="Arial" w:hAnsi="Arial" w:cs="Arial"/>
          <w:color w:val="000000"/>
          <w:sz w:val="20"/>
          <w:szCs w:val="20"/>
          <w:shd w:val="clear" w:color="auto" w:fill="FFFFFF"/>
        </w:rPr>
        <w:t xml:space="preserve">Les recours peuvent être déposés sur </w:t>
      </w:r>
      <w:hyperlink r:id="rId12">
        <w:r>
          <w:rPr>
            <w:rFonts w:ascii="Arial" w:hAnsi="Arial" w:cs="Arial"/>
            <w:color w:val="0563C1"/>
            <w:sz w:val="20"/>
            <w:szCs w:val="20"/>
            <w:u w:val="single"/>
            <w:shd w:val="clear" w:color="auto" w:fill="FFFFFF"/>
          </w:rPr>
          <w:t>https://www.telerecours.fr/</w:t>
        </w:r>
      </w:hyperlink>
      <w:r>
        <w:rPr>
          <w:rFonts w:ascii="Arial" w:hAnsi="Arial" w:cs="Arial"/>
          <w:color w:val="000000"/>
          <w:sz w:val="20"/>
          <w:szCs w:val="20"/>
          <w:shd w:val="clear" w:color="auto" w:fill="FFFFFF"/>
        </w:rPr>
        <w:t xml:space="preserve"> ou adressés par courrier à :</w:t>
      </w:r>
    </w:p>
    <w:p w14:paraId="77E7AFBA"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8"/>
          <w:szCs w:val="8"/>
          <w:shd w:val="clear" w:color="auto" w:fill="FFFFFF"/>
        </w:rPr>
      </w:pPr>
    </w:p>
    <w:p w14:paraId="0E4D71A7"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Tribunal Administratif de Lille</w:t>
      </w:r>
    </w:p>
    <w:p w14:paraId="4C0DC98A"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5 rue Geoffroy Saint-Hilaire - CS 62039</w:t>
      </w:r>
    </w:p>
    <w:p w14:paraId="47F9A3FA"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59014 Lille</w:t>
      </w:r>
    </w:p>
    <w:p w14:paraId="4F14766D"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Téléphone : 03 59 54 23 42</w:t>
      </w:r>
    </w:p>
    <w:p w14:paraId="5F100DCF"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Courriel : greffe.ta-lille@juradm.fr</w:t>
      </w:r>
    </w:p>
    <w:p w14:paraId="05EEB2B7" w14:textId="77777777" w:rsidR="00FE1DF0" w:rsidRDefault="00E1399F">
      <w:pPr>
        <w:pStyle w:val="Standard"/>
        <w:widowControl w:val="0"/>
        <w:tabs>
          <w:tab w:val="left" w:pos="509"/>
        </w:tabs>
        <w:spacing w:after="0" w:line="240" w:lineRule="auto"/>
        <w:ind w:left="117" w:right="111"/>
        <w:jc w:val="both"/>
        <w:rPr>
          <w:rFonts w:hint="eastAsia"/>
          <w:shd w:val="clear" w:color="auto" w:fill="FFFFFF"/>
        </w:rPr>
      </w:pPr>
      <w:r>
        <w:rPr>
          <w:rFonts w:ascii="Arial" w:hAnsi="Arial" w:cs="Arial"/>
          <w:color w:val="000000"/>
          <w:sz w:val="20"/>
          <w:szCs w:val="20"/>
          <w:shd w:val="clear" w:color="auto" w:fill="FFFFFF"/>
        </w:rPr>
        <w:t>Télécopie : 03 59 54 24 45</w:t>
      </w:r>
    </w:p>
    <w:p w14:paraId="314ADB44" w14:textId="77777777" w:rsidR="00FE1DF0" w:rsidRDefault="00E1399F">
      <w:pPr>
        <w:pStyle w:val="Standard"/>
        <w:widowControl w:val="0"/>
        <w:tabs>
          <w:tab w:val="left" w:pos="509"/>
        </w:tabs>
        <w:spacing w:after="0" w:line="240" w:lineRule="auto"/>
        <w:ind w:left="117" w:right="111"/>
        <w:jc w:val="both"/>
        <w:rPr>
          <w:rFonts w:hint="eastAsia"/>
        </w:rPr>
      </w:pPr>
      <w:r>
        <w:rPr>
          <w:rFonts w:ascii="Arial" w:hAnsi="Arial" w:cs="Arial"/>
          <w:color w:val="000000"/>
          <w:sz w:val="20"/>
          <w:szCs w:val="20"/>
        </w:rPr>
        <w:t>Site internet : http://lille.tribunal-administratif.fr/</w:t>
      </w:r>
    </w:p>
    <w:p w14:paraId="1FCA8FCE" w14:textId="77777777" w:rsidR="00FE1DF0" w:rsidRDefault="00FE1DF0">
      <w:pPr>
        <w:pStyle w:val="Standard"/>
        <w:keepLines/>
        <w:widowControl w:val="0"/>
        <w:tabs>
          <w:tab w:val="left" w:pos="392"/>
        </w:tabs>
        <w:spacing w:after="0" w:line="240" w:lineRule="auto"/>
        <w:ind w:right="111"/>
        <w:jc w:val="both"/>
        <w:rPr>
          <w:rFonts w:ascii="Arial" w:hAnsi="Arial" w:cs="Arial"/>
        </w:rPr>
      </w:pPr>
    </w:p>
    <w:p w14:paraId="38FB8BFB" w14:textId="77777777" w:rsidR="00FE1DF0" w:rsidRDefault="00FE1DF0">
      <w:pPr>
        <w:pStyle w:val="Standard"/>
        <w:keepLines/>
        <w:widowControl w:val="0"/>
        <w:tabs>
          <w:tab w:val="left" w:pos="509"/>
        </w:tabs>
        <w:spacing w:after="0" w:line="240" w:lineRule="auto"/>
        <w:ind w:left="117" w:right="111"/>
        <w:jc w:val="both"/>
        <w:rPr>
          <w:rFonts w:ascii="Arial" w:hAnsi="Arial" w:cs="Arial"/>
          <w:color w:val="000000"/>
          <w:sz w:val="20"/>
          <w:szCs w:val="20"/>
        </w:rPr>
      </w:pPr>
    </w:p>
    <w:p w14:paraId="2535F43A" w14:textId="77777777" w:rsidR="00FE1DF0" w:rsidRDefault="00FE1DF0">
      <w:pPr>
        <w:pStyle w:val="Standard"/>
        <w:widowControl w:val="0"/>
        <w:tabs>
          <w:tab w:val="left" w:pos="392"/>
        </w:tabs>
        <w:spacing w:after="0" w:line="240" w:lineRule="auto"/>
        <w:ind w:right="111"/>
        <w:jc w:val="both"/>
        <w:rPr>
          <w:rFonts w:hint="eastAsia"/>
        </w:rPr>
      </w:pPr>
    </w:p>
    <w:sectPr w:rsidR="00FE1DF0">
      <w:headerReference w:type="even" r:id="rId13"/>
      <w:headerReference w:type="default" r:id="rId14"/>
      <w:footerReference w:type="even" r:id="rId15"/>
      <w:footerReference w:type="default" r:id="rId16"/>
      <w:headerReference w:type="first" r:id="rId17"/>
      <w:footerReference w:type="first" r:id="rId18"/>
      <w:pgSz w:w="11906" w:h="16838"/>
      <w:pgMar w:top="1400" w:right="1300" w:bottom="749" w:left="1300" w:header="708" w:footer="692"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2561F" w14:textId="77777777" w:rsidR="00E1399F" w:rsidRDefault="00E1399F">
      <w:pPr>
        <w:spacing w:after="0" w:line="240" w:lineRule="auto"/>
        <w:rPr>
          <w:rFonts w:hint="eastAsia"/>
        </w:rPr>
      </w:pPr>
      <w:r>
        <w:separator/>
      </w:r>
    </w:p>
  </w:endnote>
  <w:endnote w:type="continuationSeparator" w:id="0">
    <w:p w14:paraId="37926127" w14:textId="77777777" w:rsidR="00E1399F" w:rsidRDefault="00E1399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1"/>
    <w:family w:val="swiss"/>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TE442A870t00">
    <w:charset w:val="00"/>
    <w:family w:val="roman"/>
    <w:pitch w:val="variable"/>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31904" w14:textId="77777777" w:rsidR="00FE1DF0" w:rsidRDefault="00FE1DF0">
    <w:pPr>
      <w:pStyle w:val="Pieddepage"/>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61773" w14:textId="77777777" w:rsidR="00FE1DF0" w:rsidRDefault="00E1399F">
    <w:pPr>
      <w:pStyle w:val="Standard"/>
      <w:widowControl w:val="0"/>
      <w:tabs>
        <w:tab w:val="center" w:pos="4752"/>
        <w:tab w:val="right" w:pos="9288"/>
      </w:tabs>
      <w:spacing w:after="0" w:line="240" w:lineRule="auto"/>
      <w:ind w:left="108" w:right="98"/>
      <w:rPr>
        <w:rFonts w:hint="eastAsia"/>
      </w:rPr>
    </w:pPr>
    <w:r>
      <w:rPr>
        <w:rFonts w:ascii="Arial" w:hAnsi="Arial" w:cs="Arial"/>
        <w:color w:val="595959"/>
        <w:sz w:val="16"/>
        <w:szCs w:val="16"/>
      </w:rPr>
      <w:tab/>
      <w:t>Règlement de la consultation</w:t>
    </w:r>
  </w:p>
  <w:p w14:paraId="451E8752" w14:textId="77777777" w:rsidR="00FE1DF0" w:rsidRDefault="00E1399F">
    <w:pPr>
      <w:pStyle w:val="Standard"/>
      <w:widowControl w:val="0"/>
      <w:tabs>
        <w:tab w:val="center" w:pos="4762"/>
        <w:tab w:val="right" w:pos="9298"/>
      </w:tabs>
      <w:spacing w:after="0" w:line="240" w:lineRule="auto"/>
      <w:ind w:left="118" w:right="96"/>
      <w:jc w:val="center"/>
      <w:rPr>
        <w:rFonts w:hint="eastAsia"/>
      </w:rPr>
    </w:pPr>
    <w:r>
      <w:rPr>
        <w:rFonts w:ascii="Arial" w:hAnsi="Arial" w:cs="Arial"/>
        <w:color w:val="FFFFFF"/>
        <w:sz w:val="16"/>
        <w:szCs w:val="16"/>
      </w:rPr>
      <w:t xml:space="preserve">  / </w:t>
    </w:r>
    <w:r>
      <w:fldChar w:fldCharType="begin"/>
    </w:r>
    <w:r>
      <w:instrText xml:space="preserve"> NUMPAGES </w:instrText>
    </w:r>
    <w:r>
      <w:fldChar w:fldCharType="separate"/>
    </w:r>
    <w:r>
      <w:t>13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55AE6" w14:textId="77777777" w:rsidR="00FE1DF0" w:rsidRDefault="00FE1DF0">
    <w:pPr>
      <w:pStyle w:val="Standard"/>
      <w:widowControl w:val="0"/>
      <w:spacing w:after="0" w:line="240" w:lineRule="auto"/>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2AFC7" w14:textId="77777777" w:rsidR="00E1399F" w:rsidRDefault="00E1399F">
      <w:pPr>
        <w:spacing w:after="0" w:line="240" w:lineRule="auto"/>
        <w:rPr>
          <w:rFonts w:hint="eastAsia"/>
        </w:rPr>
      </w:pPr>
      <w:r>
        <w:separator/>
      </w:r>
    </w:p>
  </w:footnote>
  <w:footnote w:type="continuationSeparator" w:id="0">
    <w:p w14:paraId="1BCA6DAC" w14:textId="77777777" w:rsidR="00E1399F" w:rsidRDefault="00E1399F">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F6AF0" w14:textId="77777777" w:rsidR="00FE1DF0" w:rsidRDefault="00FE1DF0">
    <w:pPr>
      <w:pStyle w:val="En-tte"/>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3107C" w14:textId="77777777" w:rsidR="00FE1DF0" w:rsidRDefault="00FE1DF0">
    <w:pPr>
      <w:pStyle w:val="En-tte"/>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EB38B" w14:textId="77777777" w:rsidR="00FE1DF0" w:rsidRDefault="00FE1DF0">
    <w:pPr>
      <w:pStyle w:val="Standard"/>
      <w:widowControl w:val="0"/>
      <w:spacing w:after="0" w:line="240" w:lineRule="aut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04E58"/>
    <w:multiLevelType w:val="multilevel"/>
    <w:tmpl w:val="936AB5CC"/>
    <w:lvl w:ilvl="0">
      <w:numFmt w:val="bullet"/>
      <w:lvlText w:val="●"/>
      <w:lvlJc w:val="left"/>
      <w:pPr>
        <w:tabs>
          <w:tab w:val="num" w:pos="0"/>
        </w:tabs>
        <w:ind w:left="720" w:hanging="360"/>
      </w:pPr>
      <w:rPr>
        <w:rFonts w:ascii="Noto Sans Symbols" w:hAnsi="Noto Sans Symbols" w:cs="Noto Sans Symbols"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Noto Sans Symbols" w:hAnsi="Noto Sans Symbols" w:cs="Noto Sans Symbols" w:hint="default"/>
      </w:rPr>
    </w:lvl>
    <w:lvl w:ilvl="3">
      <w:numFmt w:val="bullet"/>
      <w:lvlText w:val="●"/>
      <w:lvlJc w:val="left"/>
      <w:pPr>
        <w:tabs>
          <w:tab w:val="num" w:pos="0"/>
        </w:tabs>
        <w:ind w:left="2880" w:hanging="360"/>
      </w:pPr>
      <w:rPr>
        <w:rFonts w:ascii="Noto Sans Symbols" w:hAnsi="Noto Sans Symbols" w:cs="Noto Sans Symbols"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Noto Sans Symbols" w:hAnsi="Noto Sans Symbols" w:cs="Noto Sans Symbols" w:hint="default"/>
      </w:rPr>
    </w:lvl>
    <w:lvl w:ilvl="6">
      <w:numFmt w:val="bullet"/>
      <w:lvlText w:val="●"/>
      <w:lvlJc w:val="left"/>
      <w:pPr>
        <w:tabs>
          <w:tab w:val="num" w:pos="0"/>
        </w:tabs>
        <w:ind w:left="5040" w:hanging="360"/>
      </w:pPr>
      <w:rPr>
        <w:rFonts w:ascii="Noto Sans Symbols" w:hAnsi="Noto Sans Symbols" w:cs="Noto Sans Symbols"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Noto Sans Symbols" w:hAnsi="Noto Sans Symbols" w:cs="Noto Sans Symbols" w:hint="default"/>
      </w:rPr>
    </w:lvl>
  </w:abstractNum>
  <w:abstractNum w:abstractNumId="1" w15:restartNumberingAfterBreak="0">
    <w:nsid w:val="0A8B2B80"/>
    <w:multiLevelType w:val="multilevel"/>
    <w:tmpl w:val="27BCBF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6296071"/>
    <w:multiLevelType w:val="multilevel"/>
    <w:tmpl w:val="18CEF782"/>
    <w:lvl w:ilvl="0">
      <w:numFmt w:val="bullet"/>
      <w:lvlText w:val="■"/>
      <w:lvlJc w:val="left"/>
      <w:pPr>
        <w:tabs>
          <w:tab w:val="num" w:pos="0"/>
        </w:tabs>
        <w:ind w:left="828" w:hanging="360"/>
      </w:pPr>
      <w:rPr>
        <w:rFonts w:ascii="Century Gothic" w:hAnsi="Century Gothic" w:cs="Century Gothic" w:hint="default"/>
        <w:b/>
        <w:color w:val="FF9900"/>
        <w:sz w:val="20"/>
      </w:rPr>
    </w:lvl>
    <w:lvl w:ilvl="1">
      <w:numFmt w:val="bullet"/>
      <w:lvlText w:val="o"/>
      <w:lvlJc w:val="left"/>
      <w:pPr>
        <w:tabs>
          <w:tab w:val="num" w:pos="0"/>
        </w:tabs>
        <w:ind w:left="1548" w:hanging="360"/>
      </w:pPr>
      <w:rPr>
        <w:rFonts w:ascii="Courier New" w:hAnsi="Courier New" w:cs="Courier New" w:hint="default"/>
        <w:color w:val="000000"/>
        <w:sz w:val="24"/>
      </w:rPr>
    </w:lvl>
    <w:lvl w:ilvl="2">
      <w:numFmt w:val="bullet"/>
      <w:lvlText w:val=""/>
      <w:lvlJc w:val="left"/>
      <w:pPr>
        <w:tabs>
          <w:tab w:val="num" w:pos="0"/>
        </w:tabs>
        <w:ind w:left="2268" w:hanging="360"/>
      </w:pPr>
      <w:rPr>
        <w:rFonts w:ascii="Arial" w:hAnsi="Arial" w:cs="Arial" w:hint="default"/>
        <w:color w:val="000000"/>
        <w:sz w:val="24"/>
      </w:rPr>
    </w:lvl>
    <w:lvl w:ilvl="3">
      <w:numFmt w:val="bullet"/>
      <w:lvlText w:val=""/>
      <w:lvlJc w:val="left"/>
      <w:pPr>
        <w:tabs>
          <w:tab w:val="num" w:pos="0"/>
        </w:tabs>
        <w:ind w:left="2988" w:hanging="360"/>
      </w:pPr>
      <w:rPr>
        <w:rFonts w:ascii="Arial" w:hAnsi="Arial" w:cs="Arial" w:hint="default"/>
        <w:color w:val="000000"/>
        <w:sz w:val="24"/>
      </w:rPr>
    </w:lvl>
    <w:lvl w:ilvl="4">
      <w:numFmt w:val="bullet"/>
      <w:lvlText w:val="o"/>
      <w:lvlJc w:val="left"/>
      <w:pPr>
        <w:tabs>
          <w:tab w:val="num" w:pos="0"/>
        </w:tabs>
        <w:ind w:left="3708" w:hanging="360"/>
      </w:pPr>
      <w:rPr>
        <w:rFonts w:ascii="Courier New" w:hAnsi="Courier New" w:cs="Courier New" w:hint="default"/>
        <w:color w:val="000000"/>
        <w:sz w:val="24"/>
      </w:rPr>
    </w:lvl>
    <w:lvl w:ilvl="5">
      <w:numFmt w:val="bullet"/>
      <w:lvlText w:val=""/>
      <w:lvlJc w:val="left"/>
      <w:pPr>
        <w:tabs>
          <w:tab w:val="num" w:pos="0"/>
        </w:tabs>
        <w:ind w:left="4428" w:hanging="360"/>
      </w:pPr>
      <w:rPr>
        <w:rFonts w:ascii="Arial" w:hAnsi="Arial" w:cs="Arial" w:hint="default"/>
        <w:color w:val="000000"/>
        <w:sz w:val="24"/>
      </w:rPr>
    </w:lvl>
    <w:lvl w:ilvl="6">
      <w:numFmt w:val="bullet"/>
      <w:lvlText w:val=""/>
      <w:lvlJc w:val="left"/>
      <w:pPr>
        <w:tabs>
          <w:tab w:val="num" w:pos="0"/>
        </w:tabs>
        <w:ind w:left="5148" w:hanging="360"/>
      </w:pPr>
      <w:rPr>
        <w:rFonts w:ascii="Arial" w:hAnsi="Arial" w:cs="Arial" w:hint="default"/>
        <w:color w:val="000000"/>
        <w:sz w:val="24"/>
      </w:rPr>
    </w:lvl>
    <w:lvl w:ilvl="7">
      <w:numFmt w:val="bullet"/>
      <w:lvlText w:val="o"/>
      <w:lvlJc w:val="left"/>
      <w:pPr>
        <w:tabs>
          <w:tab w:val="num" w:pos="0"/>
        </w:tabs>
        <w:ind w:left="5868" w:hanging="360"/>
      </w:pPr>
      <w:rPr>
        <w:rFonts w:ascii="Courier New" w:hAnsi="Courier New" w:cs="Courier New" w:hint="default"/>
        <w:color w:val="000000"/>
        <w:sz w:val="24"/>
      </w:rPr>
    </w:lvl>
    <w:lvl w:ilvl="8">
      <w:numFmt w:val="bullet"/>
      <w:lvlText w:val=""/>
      <w:lvlJc w:val="left"/>
      <w:pPr>
        <w:tabs>
          <w:tab w:val="num" w:pos="0"/>
        </w:tabs>
        <w:ind w:left="6588" w:hanging="360"/>
      </w:pPr>
      <w:rPr>
        <w:rFonts w:ascii="Arial" w:hAnsi="Arial" w:cs="Arial" w:hint="default"/>
        <w:color w:val="000000"/>
        <w:sz w:val="24"/>
      </w:rPr>
    </w:lvl>
  </w:abstractNum>
  <w:abstractNum w:abstractNumId="3" w15:restartNumberingAfterBreak="0">
    <w:nsid w:val="2200233C"/>
    <w:multiLevelType w:val="multilevel"/>
    <w:tmpl w:val="DF80E318"/>
    <w:lvl w:ilvl="0">
      <w:numFmt w:val="bullet"/>
      <w:lvlText w:val="●"/>
      <w:lvlJc w:val="left"/>
      <w:pPr>
        <w:tabs>
          <w:tab w:val="num" w:pos="0"/>
        </w:tabs>
        <w:ind w:left="720" w:hanging="360"/>
      </w:pPr>
      <w:rPr>
        <w:rFonts w:ascii="Noto Sans Symbols" w:hAnsi="Noto Sans Symbols" w:cs="Noto Sans Symbols"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Noto Sans Symbols" w:hAnsi="Noto Sans Symbols" w:cs="Noto Sans Symbols" w:hint="default"/>
      </w:rPr>
    </w:lvl>
    <w:lvl w:ilvl="3">
      <w:numFmt w:val="bullet"/>
      <w:lvlText w:val="●"/>
      <w:lvlJc w:val="left"/>
      <w:pPr>
        <w:tabs>
          <w:tab w:val="num" w:pos="0"/>
        </w:tabs>
        <w:ind w:left="2880" w:hanging="360"/>
      </w:pPr>
      <w:rPr>
        <w:rFonts w:ascii="Noto Sans Symbols" w:hAnsi="Noto Sans Symbols" w:cs="Noto Sans Symbols"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Noto Sans Symbols" w:hAnsi="Noto Sans Symbols" w:cs="Noto Sans Symbols" w:hint="default"/>
      </w:rPr>
    </w:lvl>
    <w:lvl w:ilvl="6">
      <w:numFmt w:val="bullet"/>
      <w:lvlText w:val="●"/>
      <w:lvlJc w:val="left"/>
      <w:pPr>
        <w:tabs>
          <w:tab w:val="num" w:pos="0"/>
        </w:tabs>
        <w:ind w:left="5040" w:hanging="360"/>
      </w:pPr>
      <w:rPr>
        <w:rFonts w:ascii="Noto Sans Symbols" w:hAnsi="Noto Sans Symbols" w:cs="Noto Sans Symbols"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Noto Sans Symbols" w:hAnsi="Noto Sans Symbols" w:cs="Noto Sans Symbols" w:hint="default"/>
      </w:rPr>
    </w:lvl>
  </w:abstractNum>
  <w:abstractNum w:abstractNumId="4" w15:restartNumberingAfterBreak="0">
    <w:nsid w:val="23AA74FC"/>
    <w:multiLevelType w:val="multilevel"/>
    <w:tmpl w:val="58E0E6E2"/>
    <w:lvl w:ilvl="0">
      <w:start w:val="1"/>
      <w:numFmt w:val="decimal"/>
      <w:lvlText w:val="%1."/>
      <w:lvlJc w:val="left"/>
      <w:pPr>
        <w:tabs>
          <w:tab w:val="num" w:pos="0"/>
        </w:tabs>
        <w:ind w:left="465" w:hanging="357"/>
      </w:pPr>
      <w:rPr>
        <w:rFonts w:cs="Arial"/>
        <w:b/>
        <w:bCs/>
        <w:color w:val="595959"/>
        <w:sz w:val="32"/>
        <w:szCs w:val="32"/>
      </w:rPr>
    </w:lvl>
    <w:lvl w:ilvl="1">
      <w:start w:val="1"/>
      <w:numFmt w:val="decimal"/>
      <w:lvlText w:val="%1.%2."/>
      <w:lvlJc w:val="left"/>
      <w:pPr>
        <w:tabs>
          <w:tab w:val="num" w:pos="0"/>
        </w:tabs>
        <w:ind w:left="822" w:hanging="357"/>
      </w:pPr>
      <w:rPr>
        <w:rFonts w:cs="Arial"/>
        <w:b/>
        <w:bCs/>
        <w:color w:val="595959"/>
        <w:sz w:val="26"/>
        <w:szCs w:val="26"/>
      </w:rPr>
    </w:lvl>
    <w:lvl w:ilvl="2">
      <w:start w:val="1"/>
      <w:numFmt w:val="decimal"/>
      <w:lvlText w:val="%1.%2.%3."/>
      <w:lvlJc w:val="left"/>
      <w:pPr>
        <w:tabs>
          <w:tab w:val="num" w:pos="0"/>
        </w:tabs>
        <w:ind w:left="1179" w:hanging="357"/>
      </w:pPr>
      <w:rPr>
        <w:rFonts w:cs="Arial"/>
        <w:color w:val="000000"/>
        <w:sz w:val="24"/>
        <w:szCs w:val="24"/>
      </w:rPr>
    </w:lvl>
    <w:lvl w:ilvl="3">
      <w:start w:val="1"/>
      <w:numFmt w:val="decimal"/>
      <w:lvlText w:val="%1.%2.%3.%4."/>
      <w:lvlJc w:val="left"/>
      <w:pPr>
        <w:tabs>
          <w:tab w:val="num" w:pos="0"/>
        </w:tabs>
        <w:ind w:left="1536" w:hanging="357"/>
      </w:pPr>
      <w:rPr>
        <w:rFonts w:cs="Arial"/>
        <w:color w:val="000000"/>
        <w:sz w:val="24"/>
        <w:szCs w:val="24"/>
      </w:rPr>
    </w:lvl>
    <w:lvl w:ilvl="4">
      <w:start w:val="1"/>
      <w:numFmt w:val="decimal"/>
      <w:lvlText w:val="%1.%2.%3.%4.%5."/>
      <w:lvlJc w:val="left"/>
      <w:pPr>
        <w:tabs>
          <w:tab w:val="num" w:pos="0"/>
        </w:tabs>
        <w:ind w:left="1893" w:hanging="357"/>
      </w:pPr>
      <w:rPr>
        <w:rFonts w:cs="Arial"/>
        <w:color w:val="000000"/>
        <w:sz w:val="24"/>
        <w:szCs w:val="24"/>
      </w:rPr>
    </w:lvl>
    <w:lvl w:ilvl="5">
      <w:start w:val="1"/>
      <w:numFmt w:val="decimal"/>
      <w:lvlText w:val="%1.%2.%3.%4.%5.%6."/>
      <w:lvlJc w:val="left"/>
      <w:pPr>
        <w:tabs>
          <w:tab w:val="num" w:pos="0"/>
        </w:tabs>
        <w:ind w:left="2250" w:hanging="357"/>
      </w:pPr>
      <w:rPr>
        <w:rFonts w:cs="Arial"/>
        <w:color w:val="000000"/>
        <w:sz w:val="24"/>
        <w:szCs w:val="24"/>
      </w:rPr>
    </w:lvl>
    <w:lvl w:ilvl="6">
      <w:start w:val="1"/>
      <w:numFmt w:val="decimal"/>
      <w:lvlText w:val="%1.%2.%3.%4.%5.%6.%7."/>
      <w:lvlJc w:val="left"/>
      <w:pPr>
        <w:tabs>
          <w:tab w:val="num" w:pos="0"/>
        </w:tabs>
        <w:ind w:left="2606" w:hanging="357"/>
      </w:pPr>
      <w:rPr>
        <w:rFonts w:cs="Arial"/>
        <w:color w:val="000000"/>
        <w:sz w:val="24"/>
        <w:szCs w:val="24"/>
      </w:rPr>
    </w:lvl>
    <w:lvl w:ilvl="7">
      <w:start w:val="1"/>
      <w:numFmt w:val="decimal"/>
      <w:lvlText w:val="%1.%2.%3.%4.%5.%6.%7.%8."/>
      <w:lvlJc w:val="left"/>
      <w:pPr>
        <w:tabs>
          <w:tab w:val="num" w:pos="0"/>
        </w:tabs>
        <w:ind w:left="2964" w:hanging="357"/>
      </w:pPr>
      <w:rPr>
        <w:rFonts w:cs="Arial"/>
        <w:color w:val="000000"/>
        <w:sz w:val="24"/>
        <w:szCs w:val="24"/>
      </w:rPr>
    </w:lvl>
    <w:lvl w:ilvl="8">
      <w:start w:val="1"/>
      <w:numFmt w:val="decimal"/>
      <w:lvlText w:val="%1.%2.%3.%4.%5.%6.%7.%8.%9."/>
      <w:lvlJc w:val="left"/>
      <w:pPr>
        <w:tabs>
          <w:tab w:val="num" w:pos="0"/>
        </w:tabs>
        <w:ind w:left="3320" w:hanging="357"/>
      </w:pPr>
      <w:rPr>
        <w:rFonts w:cs="Arial"/>
        <w:color w:val="000000"/>
        <w:sz w:val="24"/>
        <w:szCs w:val="24"/>
      </w:rPr>
    </w:lvl>
  </w:abstractNum>
  <w:abstractNum w:abstractNumId="5" w15:restartNumberingAfterBreak="0">
    <w:nsid w:val="24731BE6"/>
    <w:multiLevelType w:val="multilevel"/>
    <w:tmpl w:val="E73A1CEE"/>
    <w:lvl w:ilvl="0">
      <w:start w:val="1"/>
      <w:numFmt w:val="upperRoman"/>
      <w:lvlText w:val="%1."/>
      <w:lvlJc w:val="left"/>
      <w:pPr>
        <w:tabs>
          <w:tab w:val="num" w:pos="0"/>
        </w:tabs>
        <w:ind w:left="837" w:hanging="720"/>
      </w:pPr>
      <w:rPr>
        <w:b/>
        <w:color w:val="000000"/>
        <w:sz w:val="20"/>
        <w:u w:val="single"/>
      </w:rPr>
    </w:lvl>
    <w:lvl w:ilvl="1">
      <w:start w:val="1"/>
      <w:numFmt w:val="lowerLetter"/>
      <w:lvlText w:val="%2."/>
      <w:lvlJc w:val="left"/>
      <w:pPr>
        <w:tabs>
          <w:tab w:val="num" w:pos="0"/>
        </w:tabs>
        <w:ind w:left="1197" w:hanging="360"/>
      </w:pPr>
    </w:lvl>
    <w:lvl w:ilvl="2">
      <w:start w:val="1"/>
      <w:numFmt w:val="lowerRoman"/>
      <w:lvlText w:val="%1.%2.%3."/>
      <w:lvlJc w:val="right"/>
      <w:pPr>
        <w:tabs>
          <w:tab w:val="num" w:pos="0"/>
        </w:tabs>
        <w:ind w:left="1917" w:hanging="180"/>
      </w:pPr>
    </w:lvl>
    <w:lvl w:ilvl="3">
      <w:start w:val="1"/>
      <w:numFmt w:val="decimal"/>
      <w:lvlText w:val="%1.%2.%3.%4."/>
      <w:lvlJc w:val="left"/>
      <w:pPr>
        <w:tabs>
          <w:tab w:val="num" w:pos="0"/>
        </w:tabs>
        <w:ind w:left="2637" w:hanging="360"/>
      </w:pPr>
    </w:lvl>
    <w:lvl w:ilvl="4">
      <w:start w:val="1"/>
      <w:numFmt w:val="lowerLetter"/>
      <w:lvlText w:val="%1.%2.%3.%4.%5."/>
      <w:lvlJc w:val="left"/>
      <w:pPr>
        <w:tabs>
          <w:tab w:val="num" w:pos="0"/>
        </w:tabs>
        <w:ind w:left="3357" w:hanging="360"/>
      </w:pPr>
    </w:lvl>
    <w:lvl w:ilvl="5">
      <w:start w:val="1"/>
      <w:numFmt w:val="lowerRoman"/>
      <w:lvlText w:val="%1.%2.%3.%4.%5.%6."/>
      <w:lvlJc w:val="right"/>
      <w:pPr>
        <w:tabs>
          <w:tab w:val="num" w:pos="0"/>
        </w:tabs>
        <w:ind w:left="4077" w:hanging="180"/>
      </w:pPr>
    </w:lvl>
    <w:lvl w:ilvl="6">
      <w:start w:val="1"/>
      <w:numFmt w:val="decimal"/>
      <w:lvlText w:val="%1.%2.%3.%4.%5.%6.%7."/>
      <w:lvlJc w:val="left"/>
      <w:pPr>
        <w:tabs>
          <w:tab w:val="num" w:pos="0"/>
        </w:tabs>
        <w:ind w:left="4797" w:hanging="360"/>
      </w:pPr>
    </w:lvl>
    <w:lvl w:ilvl="7">
      <w:start w:val="1"/>
      <w:numFmt w:val="lowerLetter"/>
      <w:lvlText w:val="%1.%2.%3.%4.%5.%6.%7.%8."/>
      <w:lvlJc w:val="left"/>
      <w:pPr>
        <w:tabs>
          <w:tab w:val="num" w:pos="0"/>
        </w:tabs>
        <w:ind w:left="5517" w:hanging="360"/>
      </w:pPr>
    </w:lvl>
    <w:lvl w:ilvl="8">
      <w:start w:val="1"/>
      <w:numFmt w:val="lowerRoman"/>
      <w:lvlText w:val="%1.%2.%3.%4.%5.%6.%7.%8.%9."/>
      <w:lvlJc w:val="right"/>
      <w:pPr>
        <w:tabs>
          <w:tab w:val="num" w:pos="0"/>
        </w:tabs>
        <w:ind w:left="6237" w:hanging="180"/>
      </w:pPr>
    </w:lvl>
  </w:abstractNum>
  <w:abstractNum w:abstractNumId="6" w15:restartNumberingAfterBreak="0">
    <w:nsid w:val="2DDE6BBE"/>
    <w:multiLevelType w:val="multilevel"/>
    <w:tmpl w:val="2960CC3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0" w:firstLine="0"/>
      </w:pPr>
      <w:rPr>
        <w:rFonts w:ascii="OpenSymbol" w:hAnsi="OpenSymbol" w:cs="OpenSymbol" w:hint="default"/>
      </w:rPr>
    </w:lvl>
    <w:lvl w:ilvl="2">
      <w:numFmt w:val="bullet"/>
      <w:lvlText w:val="▪"/>
      <w:lvlJc w:val="left"/>
      <w:pPr>
        <w:tabs>
          <w:tab w:val="num" w:pos="0"/>
        </w:tabs>
        <w:ind w:left="0" w:firstLine="0"/>
      </w:pPr>
      <w:rPr>
        <w:rFonts w:ascii="OpenSymbol" w:hAnsi="OpenSymbol" w:cs="OpenSymbol" w:hint="default"/>
      </w:rPr>
    </w:lvl>
    <w:lvl w:ilvl="3">
      <w:numFmt w:val="bullet"/>
      <w:lvlText w:val=""/>
      <w:lvlJc w:val="left"/>
      <w:pPr>
        <w:tabs>
          <w:tab w:val="num" w:pos="0"/>
        </w:tabs>
        <w:ind w:left="0" w:firstLine="0"/>
      </w:pPr>
      <w:rPr>
        <w:rFonts w:ascii="Symbol" w:hAnsi="Symbol" w:cs="Symbol" w:hint="default"/>
      </w:rPr>
    </w:lvl>
    <w:lvl w:ilvl="4">
      <w:numFmt w:val="bullet"/>
      <w:lvlText w:val="◦"/>
      <w:lvlJc w:val="left"/>
      <w:pPr>
        <w:tabs>
          <w:tab w:val="num" w:pos="0"/>
        </w:tabs>
        <w:ind w:left="0" w:firstLine="0"/>
      </w:pPr>
      <w:rPr>
        <w:rFonts w:ascii="OpenSymbol" w:hAnsi="OpenSymbol" w:cs="OpenSymbol" w:hint="default"/>
      </w:rPr>
    </w:lvl>
    <w:lvl w:ilvl="5">
      <w:numFmt w:val="bullet"/>
      <w:lvlText w:val="▪"/>
      <w:lvlJc w:val="left"/>
      <w:pPr>
        <w:tabs>
          <w:tab w:val="num" w:pos="0"/>
        </w:tabs>
        <w:ind w:left="0" w:firstLine="0"/>
      </w:pPr>
      <w:rPr>
        <w:rFonts w:ascii="OpenSymbol" w:hAnsi="OpenSymbol" w:cs="OpenSymbol" w:hint="default"/>
      </w:rPr>
    </w:lvl>
    <w:lvl w:ilvl="6">
      <w:numFmt w:val="bullet"/>
      <w:lvlText w:val=""/>
      <w:lvlJc w:val="left"/>
      <w:pPr>
        <w:tabs>
          <w:tab w:val="num" w:pos="0"/>
        </w:tabs>
        <w:ind w:left="0" w:firstLine="0"/>
      </w:pPr>
      <w:rPr>
        <w:rFonts w:ascii="Symbol" w:hAnsi="Symbol" w:cs="Symbol" w:hint="default"/>
      </w:rPr>
    </w:lvl>
    <w:lvl w:ilvl="7">
      <w:numFmt w:val="bullet"/>
      <w:lvlText w:val="◦"/>
      <w:lvlJc w:val="left"/>
      <w:pPr>
        <w:tabs>
          <w:tab w:val="num" w:pos="0"/>
        </w:tabs>
        <w:ind w:left="0" w:firstLine="0"/>
      </w:pPr>
      <w:rPr>
        <w:rFonts w:ascii="OpenSymbol" w:hAnsi="OpenSymbol" w:cs="OpenSymbol" w:hint="default"/>
      </w:rPr>
    </w:lvl>
    <w:lvl w:ilvl="8">
      <w:numFmt w:val="bullet"/>
      <w:lvlText w:val="▪"/>
      <w:lvlJc w:val="left"/>
      <w:pPr>
        <w:tabs>
          <w:tab w:val="num" w:pos="0"/>
        </w:tabs>
        <w:ind w:left="0" w:firstLine="0"/>
      </w:pPr>
      <w:rPr>
        <w:rFonts w:ascii="OpenSymbol" w:hAnsi="OpenSymbol" w:cs="OpenSymbol" w:hint="default"/>
      </w:rPr>
    </w:lvl>
  </w:abstractNum>
  <w:abstractNum w:abstractNumId="7" w15:restartNumberingAfterBreak="0">
    <w:nsid w:val="37200675"/>
    <w:multiLevelType w:val="multilevel"/>
    <w:tmpl w:val="AA6092C8"/>
    <w:lvl w:ilvl="0">
      <w:numFmt w:val="bullet"/>
      <w:lvlText w:val="-"/>
      <w:lvlJc w:val="left"/>
      <w:pPr>
        <w:tabs>
          <w:tab w:val="num" w:pos="0"/>
        </w:tabs>
        <w:ind w:left="410" w:hanging="360"/>
      </w:pPr>
      <w:rPr>
        <w:rFonts w:ascii="Arial" w:hAnsi="Arial" w:cs="Arial" w:hint="default"/>
      </w:rPr>
    </w:lvl>
    <w:lvl w:ilvl="1">
      <w:numFmt w:val="bullet"/>
      <w:lvlText w:val="o"/>
      <w:lvlJc w:val="left"/>
      <w:pPr>
        <w:tabs>
          <w:tab w:val="num" w:pos="0"/>
        </w:tabs>
        <w:ind w:left="1130" w:hanging="360"/>
      </w:pPr>
      <w:rPr>
        <w:rFonts w:ascii="Courier New" w:hAnsi="Courier New" w:cs="Courier New" w:hint="default"/>
      </w:rPr>
    </w:lvl>
    <w:lvl w:ilvl="2">
      <w:numFmt w:val="bullet"/>
      <w:lvlText w:val=""/>
      <w:lvlJc w:val="left"/>
      <w:pPr>
        <w:tabs>
          <w:tab w:val="num" w:pos="0"/>
        </w:tabs>
        <w:ind w:left="1850" w:hanging="360"/>
      </w:pPr>
      <w:rPr>
        <w:rFonts w:ascii="Wingdings" w:hAnsi="Wingdings" w:cs="Wingdings" w:hint="default"/>
      </w:rPr>
    </w:lvl>
    <w:lvl w:ilvl="3">
      <w:numFmt w:val="bullet"/>
      <w:lvlText w:val=""/>
      <w:lvlJc w:val="left"/>
      <w:pPr>
        <w:tabs>
          <w:tab w:val="num" w:pos="0"/>
        </w:tabs>
        <w:ind w:left="2570" w:hanging="360"/>
      </w:pPr>
      <w:rPr>
        <w:rFonts w:ascii="Symbol" w:hAnsi="Symbol" w:cs="Symbol" w:hint="default"/>
      </w:rPr>
    </w:lvl>
    <w:lvl w:ilvl="4">
      <w:numFmt w:val="bullet"/>
      <w:lvlText w:val="o"/>
      <w:lvlJc w:val="left"/>
      <w:pPr>
        <w:tabs>
          <w:tab w:val="num" w:pos="0"/>
        </w:tabs>
        <w:ind w:left="3290" w:hanging="360"/>
      </w:pPr>
      <w:rPr>
        <w:rFonts w:ascii="Courier New" w:hAnsi="Courier New" w:cs="Courier New" w:hint="default"/>
      </w:rPr>
    </w:lvl>
    <w:lvl w:ilvl="5">
      <w:numFmt w:val="bullet"/>
      <w:lvlText w:val=""/>
      <w:lvlJc w:val="left"/>
      <w:pPr>
        <w:tabs>
          <w:tab w:val="num" w:pos="0"/>
        </w:tabs>
        <w:ind w:left="4010" w:hanging="360"/>
      </w:pPr>
      <w:rPr>
        <w:rFonts w:ascii="Wingdings" w:hAnsi="Wingdings" w:cs="Wingdings" w:hint="default"/>
      </w:rPr>
    </w:lvl>
    <w:lvl w:ilvl="6">
      <w:numFmt w:val="bullet"/>
      <w:lvlText w:val=""/>
      <w:lvlJc w:val="left"/>
      <w:pPr>
        <w:tabs>
          <w:tab w:val="num" w:pos="0"/>
        </w:tabs>
        <w:ind w:left="4730" w:hanging="360"/>
      </w:pPr>
      <w:rPr>
        <w:rFonts w:ascii="Symbol" w:hAnsi="Symbol" w:cs="Symbol" w:hint="default"/>
      </w:rPr>
    </w:lvl>
    <w:lvl w:ilvl="7">
      <w:numFmt w:val="bullet"/>
      <w:lvlText w:val="o"/>
      <w:lvlJc w:val="left"/>
      <w:pPr>
        <w:tabs>
          <w:tab w:val="num" w:pos="0"/>
        </w:tabs>
        <w:ind w:left="5450" w:hanging="360"/>
      </w:pPr>
      <w:rPr>
        <w:rFonts w:ascii="Courier New" w:hAnsi="Courier New" w:cs="Courier New" w:hint="default"/>
      </w:rPr>
    </w:lvl>
    <w:lvl w:ilvl="8">
      <w:numFmt w:val="bullet"/>
      <w:lvlText w:val=""/>
      <w:lvlJc w:val="left"/>
      <w:pPr>
        <w:tabs>
          <w:tab w:val="num" w:pos="0"/>
        </w:tabs>
        <w:ind w:left="6170" w:hanging="360"/>
      </w:pPr>
      <w:rPr>
        <w:rFonts w:ascii="Wingdings" w:hAnsi="Wingdings" w:cs="Wingdings" w:hint="default"/>
      </w:rPr>
    </w:lvl>
  </w:abstractNum>
  <w:abstractNum w:abstractNumId="8" w15:restartNumberingAfterBreak="0">
    <w:nsid w:val="43711A8D"/>
    <w:multiLevelType w:val="multilevel"/>
    <w:tmpl w:val="912A7878"/>
    <w:lvl w:ilvl="0">
      <w:start w:val="1"/>
      <w:numFmt w:val="decimal"/>
      <w:lvlText w:val="%1."/>
      <w:lvlJc w:val="left"/>
      <w:pPr>
        <w:tabs>
          <w:tab w:val="num" w:pos="0"/>
        </w:tabs>
        <w:ind w:left="465" w:hanging="357"/>
      </w:pPr>
      <w:rPr>
        <w:rFonts w:cs="Arial"/>
        <w:b/>
        <w:bCs/>
        <w:color w:val="595959"/>
        <w:sz w:val="32"/>
        <w:szCs w:val="32"/>
      </w:rPr>
    </w:lvl>
    <w:lvl w:ilvl="1">
      <w:start w:val="1"/>
      <w:numFmt w:val="decimal"/>
      <w:lvlText w:val="%1.%2."/>
      <w:lvlJc w:val="left"/>
      <w:pPr>
        <w:tabs>
          <w:tab w:val="num" w:pos="0"/>
        </w:tabs>
        <w:ind w:left="822" w:hanging="357"/>
      </w:pPr>
      <w:rPr>
        <w:rFonts w:cs="Arial"/>
        <w:b/>
        <w:bCs/>
        <w:color w:val="595959"/>
        <w:sz w:val="26"/>
        <w:szCs w:val="26"/>
      </w:rPr>
    </w:lvl>
    <w:lvl w:ilvl="2">
      <w:start w:val="1"/>
      <w:numFmt w:val="decimal"/>
      <w:lvlText w:val="%1.%2.%3."/>
      <w:lvlJc w:val="left"/>
      <w:pPr>
        <w:tabs>
          <w:tab w:val="num" w:pos="0"/>
        </w:tabs>
        <w:ind w:left="1179" w:hanging="357"/>
      </w:pPr>
      <w:rPr>
        <w:rFonts w:cs="Arial"/>
        <w:color w:val="000000"/>
        <w:sz w:val="24"/>
        <w:szCs w:val="24"/>
      </w:rPr>
    </w:lvl>
    <w:lvl w:ilvl="3">
      <w:start w:val="1"/>
      <w:numFmt w:val="decimal"/>
      <w:lvlText w:val="%1.%2.%3.%4."/>
      <w:lvlJc w:val="left"/>
      <w:pPr>
        <w:tabs>
          <w:tab w:val="num" w:pos="0"/>
        </w:tabs>
        <w:ind w:left="1536" w:hanging="357"/>
      </w:pPr>
      <w:rPr>
        <w:rFonts w:cs="Arial"/>
        <w:color w:val="000000"/>
        <w:sz w:val="24"/>
        <w:szCs w:val="24"/>
      </w:rPr>
    </w:lvl>
    <w:lvl w:ilvl="4">
      <w:start w:val="1"/>
      <w:numFmt w:val="decimal"/>
      <w:lvlText w:val="%1.%2.%3.%4.%5."/>
      <w:lvlJc w:val="left"/>
      <w:pPr>
        <w:tabs>
          <w:tab w:val="num" w:pos="0"/>
        </w:tabs>
        <w:ind w:left="1893" w:hanging="357"/>
      </w:pPr>
      <w:rPr>
        <w:rFonts w:cs="Arial"/>
        <w:color w:val="000000"/>
        <w:sz w:val="24"/>
        <w:szCs w:val="24"/>
      </w:rPr>
    </w:lvl>
    <w:lvl w:ilvl="5">
      <w:start w:val="1"/>
      <w:numFmt w:val="decimal"/>
      <w:lvlText w:val="%1.%2.%3.%4.%5.%6."/>
      <w:lvlJc w:val="left"/>
      <w:pPr>
        <w:tabs>
          <w:tab w:val="num" w:pos="0"/>
        </w:tabs>
        <w:ind w:left="2250" w:hanging="357"/>
      </w:pPr>
      <w:rPr>
        <w:rFonts w:cs="Arial"/>
        <w:color w:val="000000"/>
        <w:sz w:val="24"/>
        <w:szCs w:val="24"/>
      </w:rPr>
    </w:lvl>
    <w:lvl w:ilvl="6">
      <w:start w:val="1"/>
      <w:numFmt w:val="decimal"/>
      <w:lvlText w:val="%1.%2.%3.%4.%5.%6.%7."/>
      <w:lvlJc w:val="left"/>
      <w:pPr>
        <w:tabs>
          <w:tab w:val="num" w:pos="0"/>
        </w:tabs>
        <w:ind w:left="2606" w:hanging="357"/>
      </w:pPr>
      <w:rPr>
        <w:rFonts w:cs="Arial"/>
        <w:color w:val="000000"/>
        <w:sz w:val="24"/>
        <w:szCs w:val="24"/>
      </w:rPr>
    </w:lvl>
    <w:lvl w:ilvl="7">
      <w:start w:val="1"/>
      <w:numFmt w:val="decimal"/>
      <w:lvlText w:val="%1.%2.%3.%4.%5.%6.%7.%8."/>
      <w:lvlJc w:val="left"/>
      <w:pPr>
        <w:tabs>
          <w:tab w:val="num" w:pos="0"/>
        </w:tabs>
        <w:ind w:left="2964" w:hanging="357"/>
      </w:pPr>
      <w:rPr>
        <w:rFonts w:cs="Arial"/>
        <w:color w:val="000000"/>
        <w:sz w:val="24"/>
        <w:szCs w:val="24"/>
      </w:rPr>
    </w:lvl>
    <w:lvl w:ilvl="8">
      <w:start w:val="1"/>
      <w:numFmt w:val="decimal"/>
      <w:lvlText w:val="%1.%2.%3.%4.%5.%6.%7.%8.%9."/>
      <w:lvlJc w:val="left"/>
      <w:pPr>
        <w:tabs>
          <w:tab w:val="num" w:pos="0"/>
        </w:tabs>
        <w:ind w:left="3320" w:hanging="357"/>
      </w:pPr>
      <w:rPr>
        <w:rFonts w:cs="Arial"/>
        <w:color w:val="000000"/>
        <w:sz w:val="24"/>
        <w:szCs w:val="24"/>
      </w:rPr>
    </w:lvl>
  </w:abstractNum>
  <w:abstractNum w:abstractNumId="9" w15:restartNumberingAfterBreak="0">
    <w:nsid w:val="43BC33E0"/>
    <w:multiLevelType w:val="multilevel"/>
    <w:tmpl w:val="C71E687E"/>
    <w:lvl w:ilvl="0">
      <w:numFmt w:val="bullet"/>
      <w:lvlText w:val="■"/>
      <w:lvlJc w:val="left"/>
      <w:pPr>
        <w:tabs>
          <w:tab w:val="num" w:pos="0"/>
        </w:tabs>
        <w:ind w:left="828" w:hanging="360"/>
      </w:pPr>
      <w:rPr>
        <w:rFonts w:ascii="Century Gothic" w:hAnsi="Century Gothic" w:cs="Century Gothic" w:hint="default"/>
        <w:b/>
        <w:color w:val="FF9900"/>
        <w:sz w:val="20"/>
      </w:rPr>
    </w:lvl>
    <w:lvl w:ilvl="1">
      <w:numFmt w:val="bullet"/>
      <w:lvlText w:val="o"/>
      <w:lvlJc w:val="left"/>
      <w:pPr>
        <w:tabs>
          <w:tab w:val="num" w:pos="0"/>
        </w:tabs>
        <w:ind w:left="1548" w:hanging="360"/>
      </w:pPr>
      <w:rPr>
        <w:rFonts w:ascii="Courier New" w:hAnsi="Courier New" w:cs="Courier New" w:hint="default"/>
        <w:color w:val="000000"/>
        <w:sz w:val="24"/>
      </w:rPr>
    </w:lvl>
    <w:lvl w:ilvl="2">
      <w:numFmt w:val="bullet"/>
      <w:lvlText w:val=""/>
      <w:lvlJc w:val="left"/>
      <w:pPr>
        <w:tabs>
          <w:tab w:val="num" w:pos="0"/>
        </w:tabs>
        <w:ind w:left="2268" w:hanging="360"/>
      </w:pPr>
      <w:rPr>
        <w:rFonts w:ascii="Arial" w:hAnsi="Arial" w:cs="Arial" w:hint="default"/>
        <w:color w:val="000000"/>
        <w:sz w:val="24"/>
      </w:rPr>
    </w:lvl>
    <w:lvl w:ilvl="3">
      <w:numFmt w:val="bullet"/>
      <w:lvlText w:val=""/>
      <w:lvlJc w:val="left"/>
      <w:pPr>
        <w:tabs>
          <w:tab w:val="num" w:pos="0"/>
        </w:tabs>
        <w:ind w:left="2988" w:hanging="360"/>
      </w:pPr>
      <w:rPr>
        <w:rFonts w:ascii="Arial" w:hAnsi="Arial" w:cs="Arial" w:hint="default"/>
        <w:color w:val="000000"/>
        <w:sz w:val="24"/>
      </w:rPr>
    </w:lvl>
    <w:lvl w:ilvl="4">
      <w:numFmt w:val="bullet"/>
      <w:lvlText w:val="o"/>
      <w:lvlJc w:val="left"/>
      <w:pPr>
        <w:tabs>
          <w:tab w:val="num" w:pos="0"/>
        </w:tabs>
        <w:ind w:left="3708" w:hanging="360"/>
      </w:pPr>
      <w:rPr>
        <w:rFonts w:ascii="Courier New" w:hAnsi="Courier New" w:cs="Courier New" w:hint="default"/>
        <w:color w:val="000000"/>
        <w:sz w:val="24"/>
      </w:rPr>
    </w:lvl>
    <w:lvl w:ilvl="5">
      <w:numFmt w:val="bullet"/>
      <w:lvlText w:val=""/>
      <w:lvlJc w:val="left"/>
      <w:pPr>
        <w:tabs>
          <w:tab w:val="num" w:pos="0"/>
        </w:tabs>
        <w:ind w:left="4428" w:hanging="360"/>
      </w:pPr>
      <w:rPr>
        <w:rFonts w:ascii="Arial" w:hAnsi="Arial" w:cs="Arial" w:hint="default"/>
        <w:color w:val="000000"/>
        <w:sz w:val="24"/>
      </w:rPr>
    </w:lvl>
    <w:lvl w:ilvl="6">
      <w:numFmt w:val="bullet"/>
      <w:lvlText w:val=""/>
      <w:lvlJc w:val="left"/>
      <w:pPr>
        <w:tabs>
          <w:tab w:val="num" w:pos="0"/>
        </w:tabs>
        <w:ind w:left="5148" w:hanging="360"/>
      </w:pPr>
      <w:rPr>
        <w:rFonts w:ascii="Arial" w:hAnsi="Arial" w:cs="Arial" w:hint="default"/>
        <w:color w:val="000000"/>
        <w:sz w:val="24"/>
      </w:rPr>
    </w:lvl>
    <w:lvl w:ilvl="7">
      <w:numFmt w:val="bullet"/>
      <w:lvlText w:val="o"/>
      <w:lvlJc w:val="left"/>
      <w:pPr>
        <w:tabs>
          <w:tab w:val="num" w:pos="0"/>
        </w:tabs>
        <w:ind w:left="5868" w:hanging="360"/>
      </w:pPr>
      <w:rPr>
        <w:rFonts w:ascii="Courier New" w:hAnsi="Courier New" w:cs="Courier New" w:hint="default"/>
        <w:color w:val="000000"/>
        <w:sz w:val="24"/>
      </w:rPr>
    </w:lvl>
    <w:lvl w:ilvl="8">
      <w:numFmt w:val="bullet"/>
      <w:lvlText w:val=""/>
      <w:lvlJc w:val="left"/>
      <w:pPr>
        <w:tabs>
          <w:tab w:val="num" w:pos="0"/>
        </w:tabs>
        <w:ind w:left="6588" w:hanging="360"/>
      </w:pPr>
      <w:rPr>
        <w:rFonts w:ascii="Arial" w:hAnsi="Arial" w:cs="Arial" w:hint="default"/>
        <w:color w:val="000000"/>
        <w:sz w:val="24"/>
      </w:rPr>
    </w:lvl>
  </w:abstractNum>
  <w:abstractNum w:abstractNumId="10" w15:restartNumberingAfterBreak="0">
    <w:nsid w:val="53A2393A"/>
    <w:multiLevelType w:val="multilevel"/>
    <w:tmpl w:val="38EAD654"/>
    <w:lvl w:ilvl="0">
      <w:numFmt w:val="bullet"/>
      <w:lvlText w:val="■"/>
      <w:lvlJc w:val="left"/>
      <w:pPr>
        <w:tabs>
          <w:tab w:val="num" w:pos="0"/>
        </w:tabs>
        <w:ind w:left="828" w:hanging="360"/>
      </w:pPr>
      <w:rPr>
        <w:rFonts w:ascii="Century Gothic" w:hAnsi="Century Gothic" w:cs="Century Gothic" w:hint="default"/>
        <w:b/>
        <w:color w:val="FF9900"/>
        <w:sz w:val="20"/>
      </w:rPr>
    </w:lvl>
    <w:lvl w:ilvl="1">
      <w:numFmt w:val="bullet"/>
      <w:lvlText w:val="o"/>
      <w:lvlJc w:val="left"/>
      <w:pPr>
        <w:tabs>
          <w:tab w:val="num" w:pos="0"/>
        </w:tabs>
        <w:ind w:left="1548" w:hanging="360"/>
      </w:pPr>
      <w:rPr>
        <w:rFonts w:ascii="Courier New" w:hAnsi="Courier New" w:cs="Courier New" w:hint="default"/>
        <w:color w:val="000000"/>
        <w:sz w:val="24"/>
      </w:rPr>
    </w:lvl>
    <w:lvl w:ilvl="2">
      <w:numFmt w:val="bullet"/>
      <w:lvlText w:val=""/>
      <w:lvlJc w:val="left"/>
      <w:pPr>
        <w:tabs>
          <w:tab w:val="num" w:pos="0"/>
        </w:tabs>
        <w:ind w:left="2268" w:hanging="360"/>
      </w:pPr>
      <w:rPr>
        <w:rFonts w:ascii="Arial" w:hAnsi="Arial" w:cs="Arial" w:hint="default"/>
        <w:color w:val="000000"/>
        <w:sz w:val="24"/>
      </w:rPr>
    </w:lvl>
    <w:lvl w:ilvl="3">
      <w:numFmt w:val="bullet"/>
      <w:lvlText w:val=""/>
      <w:lvlJc w:val="left"/>
      <w:pPr>
        <w:tabs>
          <w:tab w:val="num" w:pos="0"/>
        </w:tabs>
        <w:ind w:left="2988" w:hanging="360"/>
      </w:pPr>
      <w:rPr>
        <w:rFonts w:ascii="Arial" w:hAnsi="Arial" w:cs="Arial" w:hint="default"/>
        <w:color w:val="000000"/>
        <w:sz w:val="24"/>
      </w:rPr>
    </w:lvl>
    <w:lvl w:ilvl="4">
      <w:numFmt w:val="bullet"/>
      <w:lvlText w:val="o"/>
      <w:lvlJc w:val="left"/>
      <w:pPr>
        <w:tabs>
          <w:tab w:val="num" w:pos="0"/>
        </w:tabs>
        <w:ind w:left="3708" w:hanging="360"/>
      </w:pPr>
      <w:rPr>
        <w:rFonts w:ascii="Courier New" w:hAnsi="Courier New" w:cs="Courier New" w:hint="default"/>
        <w:color w:val="000000"/>
        <w:sz w:val="24"/>
      </w:rPr>
    </w:lvl>
    <w:lvl w:ilvl="5">
      <w:numFmt w:val="bullet"/>
      <w:lvlText w:val=""/>
      <w:lvlJc w:val="left"/>
      <w:pPr>
        <w:tabs>
          <w:tab w:val="num" w:pos="0"/>
        </w:tabs>
        <w:ind w:left="4428" w:hanging="360"/>
      </w:pPr>
      <w:rPr>
        <w:rFonts w:ascii="Arial" w:hAnsi="Arial" w:cs="Arial" w:hint="default"/>
        <w:color w:val="000000"/>
        <w:sz w:val="24"/>
      </w:rPr>
    </w:lvl>
    <w:lvl w:ilvl="6">
      <w:numFmt w:val="bullet"/>
      <w:lvlText w:val=""/>
      <w:lvlJc w:val="left"/>
      <w:pPr>
        <w:tabs>
          <w:tab w:val="num" w:pos="0"/>
        </w:tabs>
        <w:ind w:left="5148" w:hanging="360"/>
      </w:pPr>
      <w:rPr>
        <w:rFonts w:ascii="Arial" w:hAnsi="Arial" w:cs="Arial" w:hint="default"/>
        <w:color w:val="000000"/>
        <w:sz w:val="24"/>
      </w:rPr>
    </w:lvl>
    <w:lvl w:ilvl="7">
      <w:numFmt w:val="bullet"/>
      <w:lvlText w:val="o"/>
      <w:lvlJc w:val="left"/>
      <w:pPr>
        <w:tabs>
          <w:tab w:val="num" w:pos="0"/>
        </w:tabs>
        <w:ind w:left="5868" w:hanging="360"/>
      </w:pPr>
      <w:rPr>
        <w:rFonts w:ascii="Courier New" w:hAnsi="Courier New" w:cs="Courier New" w:hint="default"/>
        <w:color w:val="000000"/>
        <w:sz w:val="24"/>
      </w:rPr>
    </w:lvl>
    <w:lvl w:ilvl="8">
      <w:numFmt w:val="bullet"/>
      <w:lvlText w:val=""/>
      <w:lvlJc w:val="left"/>
      <w:pPr>
        <w:tabs>
          <w:tab w:val="num" w:pos="0"/>
        </w:tabs>
        <w:ind w:left="6588" w:hanging="360"/>
      </w:pPr>
      <w:rPr>
        <w:rFonts w:ascii="Arial" w:hAnsi="Arial" w:cs="Arial" w:hint="default"/>
        <w:color w:val="000000"/>
        <w:sz w:val="24"/>
      </w:rPr>
    </w:lvl>
  </w:abstractNum>
  <w:abstractNum w:abstractNumId="11" w15:restartNumberingAfterBreak="0">
    <w:nsid w:val="55B84349"/>
    <w:multiLevelType w:val="multilevel"/>
    <w:tmpl w:val="FCD871EE"/>
    <w:lvl w:ilvl="0">
      <w:start w:val="1"/>
      <w:numFmt w:val="upperRoman"/>
      <w:lvlText w:val="%1."/>
      <w:lvlJc w:val="left"/>
      <w:pPr>
        <w:tabs>
          <w:tab w:val="num" w:pos="0"/>
        </w:tabs>
        <w:ind w:left="837" w:hanging="720"/>
      </w:pPr>
      <w:rPr>
        <w:b/>
        <w:color w:val="000000"/>
        <w:sz w:val="20"/>
        <w:u w:val="single"/>
      </w:rPr>
    </w:lvl>
    <w:lvl w:ilvl="1">
      <w:start w:val="1"/>
      <w:numFmt w:val="lowerLetter"/>
      <w:lvlText w:val="%2."/>
      <w:lvlJc w:val="left"/>
      <w:pPr>
        <w:tabs>
          <w:tab w:val="num" w:pos="0"/>
        </w:tabs>
        <w:ind w:left="1197" w:hanging="360"/>
      </w:pPr>
    </w:lvl>
    <w:lvl w:ilvl="2">
      <w:start w:val="1"/>
      <w:numFmt w:val="lowerRoman"/>
      <w:lvlText w:val="%1.%2.%3."/>
      <w:lvlJc w:val="right"/>
      <w:pPr>
        <w:tabs>
          <w:tab w:val="num" w:pos="0"/>
        </w:tabs>
        <w:ind w:left="1917" w:hanging="180"/>
      </w:pPr>
    </w:lvl>
    <w:lvl w:ilvl="3">
      <w:start w:val="1"/>
      <w:numFmt w:val="decimal"/>
      <w:lvlText w:val="%1.%2.%3.%4."/>
      <w:lvlJc w:val="left"/>
      <w:pPr>
        <w:tabs>
          <w:tab w:val="num" w:pos="0"/>
        </w:tabs>
        <w:ind w:left="2637" w:hanging="360"/>
      </w:pPr>
    </w:lvl>
    <w:lvl w:ilvl="4">
      <w:start w:val="1"/>
      <w:numFmt w:val="lowerLetter"/>
      <w:lvlText w:val="%1.%2.%3.%4.%5."/>
      <w:lvlJc w:val="left"/>
      <w:pPr>
        <w:tabs>
          <w:tab w:val="num" w:pos="0"/>
        </w:tabs>
        <w:ind w:left="3357" w:hanging="360"/>
      </w:pPr>
    </w:lvl>
    <w:lvl w:ilvl="5">
      <w:start w:val="1"/>
      <w:numFmt w:val="lowerRoman"/>
      <w:lvlText w:val="%1.%2.%3.%4.%5.%6."/>
      <w:lvlJc w:val="right"/>
      <w:pPr>
        <w:tabs>
          <w:tab w:val="num" w:pos="0"/>
        </w:tabs>
        <w:ind w:left="4077" w:hanging="180"/>
      </w:pPr>
    </w:lvl>
    <w:lvl w:ilvl="6">
      <w:start w:val="1"/>
      <w:numFmt w:val="decimal"/>
      <w:lvlText w:val="%1.%2.%3.%4.%5.%6.%7."/>
      <w:lvlJc w:val="left"/>
      <w:pPr>
        <w:tabs>
          <w:tab w:val="num" w:pos="0"/>
        </w:tabs>
        <w:ind w:left="4797" w:hanging="360"/>
      </w:pPr>
    </w:lvl>
    <w:lvl w:ilvl="7">
      <w:start w:val="1"/>
      <w:numFmt w:val="lowerLetter"/>
      <w:lvlText w:val="%1.%2.%3.%4.%5.%6.%7.%8."/>
      <w:lvlJc w:val="left"/>
      <w:pPr>
        <w:tabs>
          <w:tab w:val="num" w:pos="0"/>
        </w:tabs>
        <w:ind w:left="5517" w:hanging="360"/>
      </w:pPr>
    </w:lvl>
    <w:lvl w:ilvl="8">
      <w:start w:val="1"/>
      <w:numFmt w:val="lowerRoman"/>
      <w:lvlText w:val="%1.%2.%3.%4.%5.%6.%7.%8.%9."/>
      <w:lvlJc w:val="right"/>
      <w:pPr>
        <w:tabs>
          <w:tab w:val="num" w:pos="0"/>
        </w:tabs>
        <w:ind w:left="6237" w:hanging="180"/>
      </w:pPr>
    </w:lvl>
  </w:abstractNum>
  <w:abstractNum w:abstractNumId="12" w15:restartNumberingAfterBreak="0">
    <w:nsid w:val="603224D9"/>
    <w:multiLevelType w:val="multilevel"/>
    <w:tmpl w:val="BB72B63A"/>
    <w:lvl w:ilvl="0">
      <w:numFmt w:val="bullet"/>
      <w:lvlText w:val="■"/>
      <w:lvlJc w:val="left"/>
      <w:pPr>
        <w:tabs>
          <w:tab w:val="num" w:pos="0"/>
        </w:tabs>
        <w:ind w:left="828" w:hanging="360"/>
      </w:pPr>
      <w:rPr>
        <w:rFonts w:ascii="Century Gothic" w:hAnsi="Century Gothic" w:cs="Century Gothic" w:hint="default"/>
        <w:b/>
        <w:color w:val="FF9900"/>
        <w:sz w:val="20"/>
      </w:rPr>
    </w:lvl>
    <w:lvl w:ilvl="1">
      <w:numFmt w:val="bullet"/>
      <w:lvlText w:val="o"/>
      <w:lvlJc w:val="left"/>
      <w:pPr>
        <w:tabs>
          <w:tab w:val="num" w:pos="0"/>
        </w:tabs>
        <w:ind w:left="1548" w:hanging="360"/>
      </w:pPr>
      <w:rPr>
        <w:rFonts w:ascii="Courier New" w:hAnsi="Courier New" w:cs="Courier New" w:hint="default"/>
        <w:color w:val="000000"/>
        <w:sz w:val="24"/>
      </w:rPr>
    </w:lvl>
    <w:lvl w:ilvl="2">
      <w:numFmt w:val="bullet"/>
      <w:lvlText w:val=""/>
      <w:lvlJc w:val="left"/>
      <w:pPr>
        <w:tabs>
          <w:tab w:val="num" w:pos="0"/>
        </w:tabs>
        <w:ind w:left="2268" w:hanging="360"/>
      </w:pPr>
      <w:rPr>
        <w:rFonts w:ascii="Arial" w:hAnsi="Arial" w:cs="Arial" w:hint="default"/>
        <w:color w:val="000000"/>
        <w:sz w:val="24"/>
      </w:rPr>
    </w:lvl>
    <w:lvl w:ilvl="3">
      <w:numFmt w:val="bullet"/>
      <w:lvlText w:val=""/>
      <w:lvlJc w:val="left"/>
      <w:pPr>
        <w:tabs>
          <w:tab w:val="num" w:pos="0"/>
        </w:tabs>
        <w:ind w:left="2988" w:hanging="360"/>
      </w:pPr>
      <w:rPr>
        <w:rFonts w:ascii="Arial" w:hAnsi="Arial" w:cs="Arial" w:hint="default"/>
        <w:color w:val="000000"/>
        <w:sz w:val="24"/>
      </w:rPr>
    </w:lvl>
    <w:lvl w:ilvl="4">
      <w:numFmt w:val="bullet"/>
      <w:lvlText w:val="o"/>
      <w:lvlJc w:val="left"/>
      <w:pPr>
        <w:tabs>
          <w:tab w:val="num" w:pos="0"/>
        </w:tabs>
        <w:ind w:left="3708" w:hanging="360"/>
      </w:pPr>
      <w:rPr>
        <w:rFonts w:ascii="Courier New" w:hAnsi="Courier New" w:cs="Courier New" w:hint="default"/>
        <w:color w:val="000000"/>
        <w:sz w:val="24"/>
      </w:rPr>
    </w:lvl>
    <w:lvl w:ilvl="5">
      <w:numFmt w:val="bullet"/>
      <w:lvlText w:val=""/>
      <w:lvlJc w:val="left"/>
      <w:pPr>
        <w:tabs>
          <w:tab w:val="num" w:pos="0"/>
        </w:tabs>
        <w:ind w:left="4428" w:hanging="360"/>
      </w:pPr>
      <w:rPr>
        <w:rFonts w:ascii="Arial" w:hAnsi="Arial" w:cs="Arial" w:hint="default"/>
        <w:color w:val="000000"/>
        <w:sz w:val="24"/>
      </w:rPr>
    </w:lvl>
    <w:lvl w:ilvl="6">
      <w:numFmt w:val="bullet"/>
      <w:lvlText w:val=""/>
      <w:lvlJc w:val="left"/>
      <w:pPr>
        <w:tabs>
          <w:tab w:val="num" w:pos="0"/>
        </w:tabs>
        <w:ind w:left="5148" w:hanging="360"/>
      </w:pPr>
      <w:rPr>
        <w:rFonts w:ascii="Arial" w:hAnsi="Arial" w:cs="Arial" w:hint="default"/>
        <w:color w:val="000000"/>
        <w:sz w:val="24"/>
      </w:rPr>
    </w:lvl>
    <w:lvl w:ilvl="7">
      <w:numFmt w:val="bullet"/>
      <w:lvlText w:val="o"/>
      <w:lvlJc w:val="left"/>
      <w:pPr>
        <w:tabs>
          <w:tab w:val="num" w:pos="0"/>
        </w:tabs>
        <w:ind w:left="5868" w:hanging="360"/>
      </w:pPr>
      <w:rPr>
        <w:rFonts w:ascii="Courier New" w:hAnsi="Courier New" w:cs="Courier New" w:hint="default"/>
        <w:color w:val="000000"/>
        <w:sz w:val="24"/>
      </w:rPr>
    </w:lvl>
    <w:lvl w:ilvl="8">
      <w:numFmt w:val="bullet"/>
      <w:lvlText w:val=""/>
      <w:lvlJc w:val="left"/>
      <w:pPr>
        <w:tabs>
          <w:tab w:val="num" w:pos="0"/>
        </w:tabs>
        <w:ind w:left="6588" w:hanging="360"/>
      </w:pPr>
      <w:rPr>
        <w:rFonts w:ascii="Arial" w:hAnsi="Arial" w:cs="Arial" w:hint="default"/>
        <w:color w:val="000000"/>
        <w:sz w:val="24"/>
      </w:rPr>
    </w:lvl>
  </w:abstractNum>
  <w:abstractNum w:abstractNumId="13" w15:restartNumberingAfterBreak="0">
    <w:nsid w:val="664D6D66"/>
    <w:multiLevelType w:val="multilevel"/>
    <w:tmpl w:val="5B564754"/>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6B9E66D6"/>
    <w:multiLevelType w:val="multilevel"/>
    <w:tmpl w:val="B3FC38EA"/>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0" w:firstLine="0"/>
      </w:pPr>
      <w:rPr>
        <w:rFonts w:ascii="OpenSymbol" w:hAnsi="OpenSymbol" w:cs="OpenSymbol" w:hint="default"/>
      </w:rPr>
    </w:lvl>
    <w:lvl w:ilvl="2">
      <w:numFmt w:val="bullet"/>
      <w:lvlText w:val="▪"/>
      <w:lvlJc w:val="left"/>
      <w:pPr>
        <w:tabs>
          <w:tab w:val="num" w:pos="0"/>
        </w:tabs>
        <w:ind w:left="0" w:firstLine="0"/>
      </w:pPr>
      <w:rPr>
        <w:rFonts w:ascii="OpenSymbol" w:hAnsi="OpenSymbol" w:cs="OpenSymbol" w:hint="default"/>
      </w:rPr>
    </w:lvl>
    <w:lvl w:ilvl="3">
      <w:numFmt w:val="bullet"/>
      <w:lvlText w:val=""/>
      <w:lvlJc w:val="left"/>
      <w:pPr>
        <w:tabs>
          <w:tab w:val="num" w:pos="0"/>
        </w:tabs>
        <w:ind w:left="0" w:firstLine="0"/>
      </w:pPr>
      <w:rPr>
        <w:rFonts w:ascii="Symbol" w:hAnsi="Symbol" w:cs="Symbol" w:hint="default"/>
      </w:rPr>
    </w:lvl>
    <w:lvl w:ilvl="4">
      <w:numFmt w:val="bullet"/>
      <w:lvlText w:val="◦"/>
      <w:lvlJc w:val="left"/>
      <w:pPr>
        <w:tabs>
          <w:tab w:val="num" w:pos="0"/>
        </w:tabs>
        <w:ind w:left="0" w:firstLine="0"/>
      </w:pPr>
      <w:rPr>
        <w:rFonts w:ascii="OpenSymbol" w:hAnsi="OpenSymbol" w:cs="OpenSymbol" w:hint="default"/>
      </w:rPr>
    </w:lvl>
    <w:lvl w:ilvl="5">
      <w:numFmt w:val="bullet"/>
      <w:lvlText w:val="▪"/>
      <w:lvlJc w:val="left"/>
      <w:pPr>
        <w:tabs>
          <w:tab w:val="num" w:pos="0"/>
        </w:tabs>
        <w:ind w:left="0" w:firstLine="0"/>
      </w:pPr>
      <w:rPr>
        <w:rFonts w:ascii="OpenSymbol" w:hAnsi="OpenSymbol" w:cs="OpenSymbol" w:hint="default"/>
      </w:rPr>
    </w:lvl>
    <w:lvl w:ilvl="6">
      <w:numFmt w:val="bullet"/>
      <w:lvlText w:val=""/>
      <w:lvlJc w:val="left"/>
      <w:pPr>
        <w:tabs>
          <w:tab w:val="num" w:pos="0"/>
        </w:tabs>
        <w:ind w:left="0" w:firstLine="0"/>
      </w:pPr>
      <w:rPr>
        <w:rFonts w:ascii="Symbol" w:hAnsi="Symbol" w:cs="Symbol" w:hint="default"/>
      </w:rPr>
    </w:lvl>
    <w:lvl w:ilvl="7">
      <w:numFmt w:val="bullet"/>
      <w:lvlText w:val="◦"/>
      <w:lvlJc w:val="left"/>
      <w:pPr>
        <w:tabs>
          <w:tab w:val="num" w:pos="0"/>
        </w:tabs>
        <w:ind w:left="0" w:firstLine="0"/>
      </w:pPr>
      <w:rPr>
        <w:rFonts w:ascii="OpenSymbol" w:hAnsi="OpenSymbol" w:cs="OpenSymbol" w:hint="default"/>
      </w:rPr>
    </w:lvl>
    <w:lvl w:ilvl="8">
      <w:numFmt w:val="bullet"/>
      <w:lvlText w:val="▪"/>
      <w:lvlJc w:val="left"/>
      <w:pPr>
        <w:tabs>
          <w:tab w:val="num" w:pos="0"/>
        </w:tabs>
        <w:ind w:left="0" w:firstLine="0"/>
      </w:pPr>
      <w:rPr>
        <w:rFonts w:ascii="OpenSymbol" w:hAnsi="OpenSymbol" w:cs="OpenSymbol" w:hint="default"/>
      </w:rPr>
    </w:lvl>
  </w:abstractNum>
  <w:abstractNum w:abstractNumId="15" w15:restartNumberingAfterBreak="0">
    <w:nsid w:val="6D0349B5"/>
    <w:multiLevelType w:val="multilevel"/>
    <w:tmpl w:val="CCE0636A"/>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7D6B577C"/>
    <w:multiLevelType w:val="multilevel"/>
    <w:tmpl w:val="0C08D190"/>
    <w:lvl w:ilvl="0">
      <w:numFmt w:val="bullet"/>
      <w:lvlText w:val="-"/>
      <w:lvlJc w:val="left"/>
      <w:pPr>
        <w:tabs>
          <w:tab w:val="num" w:pos="0"/>
        </w:tabs>
        <w:ind w:left="410" w:hanging="360"/>
      </w:pPr>
      <w:rPr>
        <w:rFonts w:ascii="Arial" w:hAnsi="Arial" w:cs="Arial" w:hint="default"/>
      </w:rPr>
    </w:lvl>
    <w:lvl w:ilvl="1">
      <w:numFmt w:val="bullet"/>
      <w:lvlText w:val="o"/>
      <w:lvlJc w:val="left"/>
      <w:pPr>
        <w:tabs>
          <w:tab w:val="num" w:pos="0"/>
        </w:tabs>
        <w:ind w:left="1130" w:hanging="360"/>
      </w:pPr>
      <w:rPr>
        <w:rFonts w:ascii="Courier New" w:hAnsi="Courier New" w:cs="Courier New" w:hint="default"/>
      </w:rPr>
    </w:lvl>
    <w:lvl w:ilvl="2">
      <w:numFmt w:val="bullet"/>
      <w:lvlText w:val=""/>
      <w:lvlJc w:val="left"/>
      <w:pPr>
        <w:tabs>
          <w:tab w:val="num" w:pos="0"/>
        </w:tabs>
        <w:ind w:left="1850" w:hanging="360"/>
      </w:pPr>
      <w:rPr>
        <w:rFonts w:ascii="Wingdings" w:hAnsi="Wingdings" w:cs="Wingdings" w:hint="default"/>
      </w:rPr>
    </w:lvl>
    <w:lvl w:ilvl="3">
      <w:numFmt w:val="bullet"/>
      <w:lvlText w:val=""/>
      <w:lvlJc w:val="left"/>
      <w:pPr>
        <w:tabs>
          <w:tab w:val="num" w:pos="0"/>
        </w:tabs>
        <w:ind w:left="2570" w:hanging="360"/>
      </w:pPr>
      <w:rPr>
        <w:rFonts w:ascii="Symbol" w:hAnsi="Symbol" w:cs="Symbol" w:hint="default"/>
      </w:rPr>
    </w:lvl>
    <w:lvl w:ilvl="4">
      <w:numFmt w:val="bullet"/>
      <w:lvlText w:val="o"/>
      <w:lvlJc w:val="left"/>
      <w:pPr>
        <w:tabs>
          <w:tab w:val="num" w:pos="0"/>
        </w:tabs>
        <w:ind w:left="3290" w:hanging="360"/>
      </w:pPr>
      <w:rPr>
        <w:rFonts w:ascii="Courier New" w:hAnsi="Courier New" w:cs="Courier New" w:hint="default"/>
      </w:rPr>
    </w:lvl>
    <w:lvl w:ilvl="5">
      <w:numFmt w:val="bullet"/>
      <w:lvlText w:val=""/>
      <w:lvlJc w:val="left"/>
      <w:pPr>
        <w:tabs>
          <w:tab w:val="num" w:pos="0"/>
        </w:tabs>
        <w:ind w:left="4010" w:hanging="360"/>
      </w:pPr>
      <w:rPr>
        <w:rFonts w:ascii="Wingdings" w:hAnsi="Wingdings" w:cs="Wingdings" w:hint="default"/>
      </w:rPr>
    </w:lvl>
    <w:lvl w:ilvl="6">
      <w:numFmt w:val="bullet"/>
      <w:lvlText w:val=""/>
      <w:lvlJc w:val="left"/>
      <w:pPr>
        <w:tabs>
          <w:tab w:val="num" w:pos="0"/>
        </w:tabs>
        <w:ind w:left="4730" w:hanging="360"/>
      </w:pPr>
      <w:rPr>
        <w:rFonts w:ascii="Symbol" w:hAnsi="Symbol" w:cs="Symbol" w:hint="default"/>
      </w:rPr>
    </w:lvl>
    <w:lvl w:ilvl="7">
      <w:numFmt w:val="bullet"/>
      <w:lvlText w:val="o"/>
      <w:lvlJc w:val="left"/>
      <w:pPr>
        <w:tabs>
          <w:tab w:val="num" w:pos="0"/>
        </w:tabs>
        <w:ind w:left="5450" w:hanging="360"/>
      </w:pPr>
      <w:rPr>
        <w:rFonts w:ascii="Courier New" w:hAnsi="Courier New" w:cs="Courier New" w:hint="default"/>
      </w:rPr>
    </w:lvl>
    <w:lvl w:ilvl="8">
      <w:numFmt w:val="bullet"/>
      <w:lvlText w:val=""/>
      <w:lvlJc w:val="left"/>
      <w:pPr>
        <w:tabs>
          <w:tab w:val="num" w:pos="0"/>
        </w:tabs>
        <w:ind w:left="6170" w:hanging="360"/>
      </w:pPr>
      <w:rPr>
        <w:rFonts w:ascii="Wingdings" w:hAnsi="Wingdings" w:cs="Wingdings" w:hint="default"/>
      </w:rPr>
    </w:lvl>
  </w:abstractNum>
  <w:num w:numId="1" w16cid:durableId="1989166178">
    <w:abstractNumId w:val="2"/>
  </w:num>
  <w:num w:numId="2" w16cid:durableId="1456100420">
    <w:abstractNumId w:val="8"/>
  </w:num>
  <w:num w:numId="3" w16cid:durableId="1264532710">
    <w:abstractNumId w:val="9"/>
  </w:num>
  <w:num w:numId="4" w16cid:durableId="1986202784">
    <w:abstractNumId w:val="15"/>
  </w:num>
  <w:num w:numId="5" w16cid:durableId="1161851092">
    <w:abstractNumId w:val="5"/>
  </w:num>
  <w:num w:numId="6" w16cid:durableId="119346951">
    <w:abstractNumId w:val="14"/>
  </w:num>
  <w:num w:numId="7" w16cid:durableId="1120295536">
    <w:abstractNumId w:val="0"/>
  </w:num>
  <w:num w:numId="8" w16cid:durableId="842864363">
    <w:abstractNumId w:val="16"/>
  </w:num>
  <w:num w:numId="9" w16cid:durableId="1909340290">
    <w:abstractNumId w:val="10"/>
  </w:num>
  <w:num w:numId="10" w16cid:durableId="481702092">
    <w:abstractNumId w:val="12"/>
  </w:num>
  <w:num w:numId="11" w16cid:durableId="1679576141">
    <w:abstractNumId w:val="6"/>
  </w:num>
  <w:num w:numId="12" w16cid:durableId="128666233">
    <w:abstractNumId w:val="4"/>
  </w:num>
  <w:num w:numId="13" w16cid:durableId="574051874">
    <w:abstractNumId w:val="13"/>
  </w:num>
  <w:num w:numId="14" w16cid:durableId="1276475001">
    <w:abstractNumId w:val="3"/>
  </w:num>
  <w:num w:numId="15" w16cid:durableId="1358852206">
    <w:abstractNumId w:val="11"/>
  </w:num>
  <w:num w:numId="16" w16cid:durableId="2038309199">
    <w:abstractNumId w:val="7"/>
  </w:num>
  <w:num w:numId="17" w16cid:durableId="1663121263">
    <w:abstractNumId w:val="1"/>
  </w:num>
  <w:num w:numId="18" w16cid:durableId="1295991296">
    <w:abstractNumId w:val="4"/>
    <w:lvlOverride w:ilvl="0">
      <w:startOverride w:val="1"/>
    </w:lvlOverride>
  </w:num>
  <w:num w:numId="19" w16cid:durableId="2023359187">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DF0"/>
    <w:rsid w:val="008A0798"/>
    <w:rsid w:val="009B36EC"/>
    <w:rsid w:val="00E1399F"/>
    <w:rsid w:val="00FE1DF0"/>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63E61"/>
  <w15:docId w15:val="{E51B2154-3C98-4702-9554-7A227B65D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fr-F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textAlignment w:val="baseline"/>
    </w:pPr>
  </w:style>
  <w:style w:type="paragraph" w:styleId="Titre1">
    <w:name w:val="heading 1"/>
    <w:basedOn w:val="Standard"/>
    <w:next w:val="Textbody"/>
    <w:uiPriority w:val="9"/>
    <w:qFormat/>
    <w:pPr>
      <w:keepNext/>
      <w:keepLines/>
      <w:spacing w:before="240" w:after="0"/>
      <w:outlineLvl w:val="0"/>
    </w:pPr>
    <w:rPr>
      <w:rFonts w:ascii="Calibri Light" w:hAnsi="Calibri Light"/>
      <w:color w:val="2E74B5"/>
      <w:sz w:val="32"/>
      <w:szCs w:val="32"/>
      <w:lang w:eastAsia="en-US"/>
    </w:rPr>
  </w:style>
  <w:style w:type="paragraph" w:styleId="Titre2">
    <w:name w:val="heading 2"/>
    <w:basedOn w:val="Standard"/>
    <w:next w:val="Textbody"/>
    <w:uiPriority w:val="9"/>
    <w:semiHidden/>
    <w:unhideWhenUsed/>
    <w:qFormat/>
    <w:pPr>
      <w:keepNext/>
      <w:keepLines/>
      <w:spacing w:before="40" w:after="0"/>
      <w:ind w:left="718" w:hanging="576"/>
      <w:outlineLvl w:val="1"/>
    </w:pPr>
    <w:rPr>
      <w:rFonts w:ascii="Calibri Light" w:hAnsi="Calibri Light"/>
      <w:color w:val="2E74B5"/>
      <w:sz w:val="26"/>
      <w:szCs w:val="26"/>
    </w:rPr>
  </w:style>
  <w:style w:type="paragraph" w:styleId="Titre3">
    <w:name w:val="heading 3"/>
    <w:basedOn w:val="Standard"/>
    <w:next w:val="Textbody"/>
    <w:uiPriority w:val="9"/>
    <w:semiHidden/>
    <w:unhideWhenUsed/>
    <w:qFormat/>
    <w:pPr>
      <w:keepNext/>
      <w:keepLines/>
      <w:spacing w:before="40" w:after="0"/>
      <w:outlineLvl w:val="2"/>
    </w:pPr>
    <w:rPr>
      <w:rFonts w:ascii="Calibri Light" w:hAnsi="Calibri Light"/>
      <w:color w:val="1F4D78"/>
    </w:rPr>
  </w:style>
  <w:style w:type="paragraph" w:styleId="Titre4">
    <w:name w:val="heading 4"/>
    <w:basedOn w:val="Standard"/>
    <w:next w:val="Textbody"/>
    <w:uiPriority w:val="9"/>
    <w:semiHidden/>
    <w:unhideWhenUsed/>
    <w:qFormat/>
    <w:pPr>
      <w:keepNext/>
      <w:keepLines/>
      <w:spacing w:before="40" w:after="0"/>
      <w:ind w:left="864" w:hanging="864"/>
      <w:outlineLvl w:val="3"/>
    </w:pPr>
    <w:rPr>
      <w:rFonts w:ascii="Calibri Light" w:hAnsi="Calibri Light"/>
      <w:i/>
      <w:iCs/>
      <w:color w:val="2E74B5"/>
    </w:rPr>
  </w:style>
  <w:style w:type="paragraph" w:styleId="Titre5">
    <w:name w:val="heading 5"/>
    <w:basedOn w:val="Standard"/>
    <w:next w:val="Textbody"/>
    <w:uiPriority w:val="9"/>
    <w:semiHidden/>
    <w:unhideWhenUsed/>
    <w:qFormat/>
    <w:pPr>
      <w:keepNext/>
      <w:keepLines/>
      <w:spacing w:before="40" w:after="0"/>
      <w:ind w:left="1008" w:hanging="1008"/>
      <w:outlineLvl w:val="4"/>
    </w:pPr>
    <w:rPr>
      <w:rFonts w:ascii="Calibri Light" w:hAnsi="Calibri Light"/>
      <w:color w:val="2E74B5"/>
    </w:rPr>
  </w:style>
  <w:style w:type="paragraph" w:styleId="Titre6">
    <w:name w:val="heading 6"/>
    <w:basedOn w:val="Standard"/>
    <w:next w:val="Textbody"/>
    <w:uiPriority w:val="9"/>
    <w:semiHidden/>
    <w:unhideWhenUsed/>
    <w:qFormat/>
    <w:pPr>
      <w:keepNext/>
      <w:keepLines/>
      <w:spacing w:before="40" w:after="0"/>
      <w:ind w:left="1152" w:hanging="1152"/>
      <w:outlineLvl w:val="5"/>
    </w:pPr>
    <w:rPr>
      <w:rFonts w:ascii="Calibri Light" w:hAnsi="Calibri Light"/>
      <w:color w:val="1F4D78"/>
    </w:rPr>
  </w:style>
  <w:style w:type="paragraph" w:styleId="Titre7">
    <w:name w:val="heading 7"/>
    <w:basedOn w:val="Standard"/>
    <w:next w:val="Textbody"/>
    <w:qFormat/>
    <w:pPr>
      <w:keepNext/>
      <w:keepLines/>
      <w:spacing w:before="40" w:after="0"/>
      <w:ind w:left="1296" w:hanging="1296"/>
      <w:outlineLvl w:val="6"/>
    </w:pPr>
    <w:rPr>
      <w:rFonts w:ascii="Calibri Light" w:hAnsi="Calibri Light"/>
      <w:i/>
      <w:iCs/>
      <w:color w:val="1F4D78"/>
    </w:rPr>
  </w:style>
  <w:style w:type="paragraph" w:styleId="Titre8">
    <w:name w:val="heading 8"/>
    <w:basedOn w:val="Standard"/>
    <w:next w:val="Textbody"/>
    <w:qFormat/>
    <w:pPr>
      <w:keepNext/>
      <w:keepLines/>
      <w:spacing w:before="40" w:after="0"/>
      <w:ind w:left="1440" w:hanging="1440"/>
      <w:outlineLvl w:val="7"/>
    </w:pPr>
    <w:rPr>
      <w:rFonts w:ascii="Calibri Light" w:hAnsi="Calibri Light"/>
      <w:color w:val="272727"/>
      <w:sz w:val="21"/>
      <w:szCs w:val="21"/>
    </w:rPr>
  </w:style>
  <w:style w:type="paragraph" w:styleId="Titre9">
    <w:name w:val="heading 9"/>
    <w:basedOn w:val="Standard"/>
    <w:next w:val="Textbody"/>
    <w:qFormat/>
    <w:pPr>
      <w:keepNext/>
      <w:keepLines/>
      <w:spacing w:before="40" w:after="0"/>
      <w:ind w:left="1584" w:hanging="1584"/>
      <w:outlineLvl w:val="8"/>
    </w:pPr>
    <w:rPr>
      <w:rFonts w:ascii="Calibri Light" w:hAnsi="Calibri Light"/>
      <w:i/>
      <w:iCs/>
      <w:color w:val="272727"/>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qFormat/>
    <w:rPr>
      <w:rFonts w:cs="Times New Roman"/>
      <w:sz w:val="16"/>
      <w:szCs w:val="16"/>
    </w:rPr>
  </w:style>
  <w:style w:type="character" w:customStyle="1" w:styleId="CommentaireCar">
    <w:name w:val="Commentaire Car"/>
    <w:basedOn w:val="Policepardfaut"/>
    <w:qFormat/>
    <w:rPr>
      <w:rFonts w:cs="Times New Roman"/>
      <w:sz w:val="20"/>
      <w:szCs w:val="20"/>
    </w:rPr>
  </w:style>
  <w:style w:type="character" w:customStyle="1" w:styleId="ObjetducommentaireCar">
    <w:name w:val="Objet du commentaire Car"/>
    <w:basedOn w:val="CommentaireCar"/>
    <w:qFormat/>
    <w:rPr>
      <w:rFonts w:cs="Times New Roman"/>
      <w:b/>
      <w:bCs/>
      <w:sz w:val="20"/>
      <w:szCs w:val="20"/>
    </w:rPr>
  </w:style>
  <w:style w:type="character" w:customStyle="1" w:styleId="TextedebullesCar">
    <w:name w:val="Texte de bulles Car"/>
    <w:basedOn w:val="Policepardfaut"/>
    <w:qFormat/>
    <w:rPr>
      <w:rFonts w:ascii="Segoe UI" w:hAnsi="Segoe UI" w:cs="Segoe UI"/>
      <w:sz w:val="18"/>
      <w:szCs w:val="18"/>
    </w:rPr>
  </w:style>
  <w:style w:type="character" w:customStyle="1" w:styleId="En-tteCar">
    <w:name w:val="En-tête Car"/>
    <w:basedOn w:val="Policepardfaut"/>
    <w:qFormat/>
    <w:rPr>
      <w:rFonts w:cs="Times New Roman"/>
    </w:rPr>
  </w:style>
  <w:style w:type="character" w:customStyle="1" w:styleId="PieddepageCar">
    <w:name w:val="Pied de page Car"/>
    <w:basedOn w:val="Policepardfaut"/>
    <w:qFormat/>
    <w:rPr>
      <w:rFonts w:cs="Times New Roman"/>
    </w:rPr>
  </w:style>
  <w:style w:type="character" w:customStyle="1" w:styleId="Internetlink">
    <w:name w:val="Internet link"/>
    <w:basedOn w:val="Policepardfaut"/>
    <w:qFormat/>
    <w:rPr>
      <w:rFonts w:cs="Times New Roman"/>
      <w:color w:val="0563C1"/>
      <w:u w:val="single"/>
    </w:rPr>
  </w:style>
  <w:style w:type="character" w:customStyle="1" w:styleId="NotedebasdepageCar">
    <w:name w:val="Note de bas de page Car"/>
    <w:basedOn w:val="Policepardfaut"/>
    <w:qFormat/>
    <w:rPr>
      <w:sz w:val="20"/>
      <w:szCs w:val="20"/>
    </w:rPr>
  </w:style>
  <w:style w:type="character" w:customStyle="1" w:styleId="Caractresdenotedebasdepage">
    <w:name w:val="Caractères de note de bas de page"/>
    <w:basedOn w:val="Policepardfaut"/>
    <w:qFormat/>
    <w:rPr>
      <w:vertAlign w:val="superscript"/>
    </w:rPr>
  </w:style>
  <w:style w:type="character" w:styleId="Appelnotedebasdep">
    <w:name w:val="footnote reference"/>
    <w:rPr>
      <w:vertAlign w:val="superscript"/>
    </w:rPr>
  </w:style>
  <w:style w:type="character" w:customStyle="1" w:styleId="CorpsdetexteCar">
    <w:name w:val="Corps de texte Car"/>
    <w:basedOn w:val="Policepardfaut"/>
    <w:qFormat/>
    <w:rPr>
      <w:rFonts w:ascii="Arial" w:eastAsia="Calibri" w:hAnsi="Arial" w:cs="Arial"/>
      <w:sz w:val="21"/>
      <w:szCs w:val="21"/>
      <w:lang w:val="en-US" w:eastAsia="en-US"/>
    </w:rPr>
  </w:style>
  <w:style w:type="character" w:styleId="Lienhypertextesuivivisit">
    <w:name w:val="FollowedHyperlink"/>
    <w:basedOn w:val="Policepardfaut"/>
    <w:rPr>
      <w:color w:val="954F72"/>
      <w:u w:val="single"/>
    </w:rPr>
  </w:style>
  <w:style w:type="character" w:customStyle="1" w:styleId="StrongEmphasis">
    <w:name w:val="Strong Emphasis"/>
    <w:basedOn w:val="Policepardfaut"/>
    <w:qFormat/>
    <w:rPr>
      <w:b/>
      <w:bCs/>
    </w:rPr>
  </w:style>
  <w:style w:type="character" w:styleId="Mentionnonrsolue">
    <w:name w:val="Unresolved Mention"/>
    <w:basedOn w:val="Policepardfaut"/>
    <w:qFormat/>
    <w:rPr>
      <w:color w:val="605E5C"/>
    </w:rPr>
  </w:style>
  <w:style w:type="character" w:customStyle="1" w:styleId="ng-binding">
    <w:name w:val="ng-binding"/>
    <w:basedOn w:val="Policepardfaut"/>
    <w:qFormat/>
  </w:style>
  <w:style w:type="character" w:customStyle="1" w:styleId="ParagraphedelisteCar">
    <w:name w:val="Paragraphe de liste Car"/>
    <w:qFormat/>
  </w:style>
  <w:style w:type="character" w:customStyle="1" w:styleId="Puces">
    <w:name w:val="Puces"/>
    <w:qFormat/>
    <w:rPr>
      <w:rFonts w:ascii="OpenSymbol" w:eastAsia="OpenSymbol" w:hAnsi="OpenSymbol" w:cs="OpenSymbol"/>
    </w:rPr>
  </w:style>
  <w:style w:type="character" w:styleId="Accentuation">
    <w:name w:val="Emphasis"/>
    <w:basedOn w:val="Policepardfaut"/>
    <w:qFormat/>
    <w:rPr>
      <w:i/>
      <w:iCs/>
    </w:rPr>
  </w:style>
  <w:style w:type="character" w:customStyle="1" w:styleId="Titre9Car">
    <w:name w:val="Titre 9 Car"/>
    <w:basedOn w:val="Policepardfaut"/>
    <w:qFormat/>
    <w:rPr>
      <w:rFonts w:ascii="Calibri Light" w:hAnsi="Calibri Light"/>
      <w:i/>
      <w:iCs/>
      <w:color w:val="272727"/>
      <w:sz w:val="21"/>
      <w:szCs w:val="21"/>
    </w:rPr>
  </w:style>
  <w:style w:type="character" w:customStyle="1" w:styleId="Titre8Car">
    <w:name w:val="Titre 8 Car"/>
    <w:basedOn w:val="Policepardfaut"/>
    <w:qFormat/>
    <w:rPr>
      <w:rFonts w:ascii="Calibri Light" w:hAnsi="Calibri Light"/>
      <w:color w:val="272727"/>
      <w:sz w:val="21"/>
      <w:szCs w:val="21"/>
    </w:rPr>
  </w:style>
  <w:style w:type="character" w:customStyle="1" w:styleId="Titre7Car">
    <w:name w:val="Titre 7 Car"/>
    <w:basedOn w:val="Policepardfaut"/>
    <w:qFormat/>
    <w:rPr>
      <w:rFonts w:ascii="Calibri Light" w:hAnsi="Calibri Light"/>
      <w:i/>
      <w:iCs/>
      <w:color w:val="1F4D78"/>
      <w:sz w:val="22"/>
      <w:szCs w:val="22"/>
    </w:rPr>
  </w:style>
  <w:style w:type="character" w:customStyle="1" w:styleId="Titre6Car">
    <w:name w:val="Titre 6 Car"/>
    <w:basedOn w:val="Policepardfaut"/>
    <w:qFormat/>
    <w:rPr>
      <w:rFonts w:ascii="Calibri Light" w:hAnsi="Calibri Light"/>
      <w:color w:val="1F4D78"/>
      <w:sz w:val="22"/>
      <w:szCs w:val="22"/>
    </w:rPr>
  </w:style>
  <w:style w:type="character" w:customStyle="1" w:styleId="Titre5Car">
    <w:name w:val="Titre 5 Car"/>
    <w:basedOn w:val="Policepardfaut"/>
    <w:qFormat/>
    <w:rPr>
      <w:rFonts w:ascii="Calibri Light" w:hAnsi="Calibri Light"/>
      <w:color w:val="2E74B5"/>
      <w:sz w:val="22"/>
      <w:szCs w:val="22"/>
    </w:rPr>
  </w:style>
  <w:style w:type="character" w:customStyle="1" w:styleId="Titre4Car">
    <w:name w:val="Titre 4 Car"/>
    <w:basedOn w:val="Policepardfaut"/>
    <w:qFormat/>
    <w:rPr>
      <w:rFonts w:ascii="Calibri Light" w:hAnsi="Calibri Light"/>
      <w:i/>
      <w:iCs/>
      <w:color w:val="2E74B5"/>
      <w:sz w:val="22"/>
      <w:szCs w:val="22"/>
    </w:rPr>
  </w:style>
  <w:style w:type="character" w:customStyle="1" w:styleId="Titre2Car">
    <w:name w:val="Titre 2 Car"/>
    <w:basedOn w:val="Policepardfaut"/>
    <w:qFormat/>
    <w:rPr>
      <w:rFonts w:ascii="Calibri Light" w:hAnsi="Calibri Light"/>
      <w:color w:val="2E74B5"/>
      <w:sz w:val="26"/>
      <w:szCs w:val="26"/>
    </w:rPr>
  </w:style>
  <w:style w:type="character" w:customStyle="1" w:styleId="Titre3Car">
    <w:name w:val="Titre 3 Car"/>
    <w:basedOn w:val="Policepardfaut"/>
    <w:qFormat/>
    <w:rPr>
      <w:rFonts w:ascii="Calibri Light" w:hAnsi="Calibri Light"/>
      <w:color w:val="1F4D78"/>
      <w:sz w:val="24"/>
      <w:szCs w:val="24"/>
    </w:rPr>
  </w:style>
  <w:style w:type="character" w:customStyle="1" w:styleId="SansinterligneCar">
    <w:name w:val="Sans interligne Car"/>
    <w:qFormat/>
    <w:rPr>
      <w:rFonts w:cs="Times New Roman"/>
    </w:rPr>
  </w:style>
  <w:style w:type="character" w:customStyle="1" w:styleId="Titre1Car">
    <w:name w:val="Titre 1 Car"/>
    <w:qFormat/>
    <w:rPr>
      <w:rFonts w:ascii="Calibri Light" w:hAnsi="Calibri Light" w:cs="Times New Roman"/>
      <w:color w:val="2E74B5"/>
      <w:sz w:val="32"/>
      <w:szCs w:val="32"/>
      <w:lang w:val="en-US" w:eastAsia="en-US"/>
    </w:rPr>
  </w:style>
  <w:style w:type="character" w:styleId="Lienhypertexte">
    <w:name w:val="Hyperlink"/>
    <w:rPr>
      <w:color w:val="000080"/>
      <w:u w:val="single"/>
    </w:rPr>
  </w:style>
  <w:style w:type="paragraph" w:customStyle="1" w:styleId="Titre10">
    <w:name w:val="Titre1"/>
    <w:basedOn w:val="Standard"/>
    <w:next w:val="Textbody"/>
    <w:qFormat/>
    <w:pPr>
      <w:keepNext/>
      <w:spacing w:before="240" w:after="120"/>
    </w:pPr>
    <w:rPr>
      <w:rFonts w:ascii="Arial" w:eastAsia="Microsoft YaHei" w:hAnsi="Arial"/>
      <w:sz w:val="28"/>
      <w:szCs w:val="28"/>
    </w:rPr>
  </w:style>
  <w:style w:type="paragraph" w:styleId="Corpsdetexte">
    <w:name w:val="Body Text"/>
    <w:basedOn w:val="Normal"/>
    <w:pPr>
      <w:spacing w:after="140" w:line="276" w:lineRule="auto"/>
    </w:pPr>
  </w:style>
  <w:style w:type="paragraph" w:styleId="Liste">
    <w:name w:val="List"/>
    <w:basedOn w:val="Textbody"/>
    <w:rPr>
      <w:rFonts w:cs="Lucida Sans"/>
    </w:rPr>
  </w:style>
  <w:style w:type="paragraph" w:styleId="Lgende">
    <w:name w:val="caption"/>
    <w:basedOn w:val="Standard"/>
    <w:qFormat/>
    <w:pPr>
      <w:suppressLineNumbers/>
      <w:spacing w:before="120" w:after="120"/>
    </w:pPr>
    <w:rPr>
      <w:i/>
      <w:iCs/>
    </w:rPr>
  </w:style>
  <w:style w:type="paragraph" w:customStyle="1" w:styleId="Index">
    <w:name w:val="Index"/>
    <w:basedOn w:val="Standard"/>
    <w:qFormat/>
    <w:pPr>
      <w:suppressLineNumbers/>
    </w:pPr>
  </w:style>
  <w:style w:type="paragraph" w:customStyle="1" w:styleId="Standard">
    <w:name w:val="Standard"/>
    <w:qFormat/>
    <w:pPr>
      <w:spacing w:after="160" w:line="259" w:lineRule="auto"/>
      <w:textAlignment w:val="baseline"/>
    </w:pPr>
  </w:style>
  <w:style w:type="paragraph" w:customStyle="1" w:styleId="Textbody">
    <w:name w:val="Text body"/>
    <w:basedOn w:val="Standard"/>
    <w:qFormat/>
    <w:pPr>
      <w:widowControl w:val="0"/>
      <w:spacing w:after="0" w:line="240" w:lineRule="auto"/>
    </w:pPr>
    <w:rPr>
      <w:rFonts w:ascii="Arial" w:eastAsia="Calibri" w:hAnsi="Arial" w:cs="Arial"/>
      <w:sz w:val="21"/>
      <w:szCs w:val="21"/>
      <w:lang w:val="en-US" w:eastAsia="en-US"/>
    </w:rPr>
  </w:style>
  <w:style w:type="paragraph" w:styleId="Commentaire">
    <w:name w:val="annotation text"/>
    <w:basedOn w:val="Standard"/>
    <w:rPr>
      <w:sz w:val="20"/>
      <w:szCs w:val="20"/>
    </w:rPr>
  </w:style>
  <w:style w:type="paragraph" w:styleId="Objetducommentaire">
    <w:name w:val="annotation subject"/>
    <w:basedOn w:val="Commentaire"/>
    <w:qFormat/>
    <w:rPr>
      <w:b/>
      <w:bCs/>
    </w:rPr>
  </w:style>
  <w:style w:type="paragraph" w:styleId="Textedebulles">
    <w:name w:val="Balloon Text"/>
    <w:basedOn w:val="Standard"/>
    <w:qFormat/>
    <w:pPr>
      <w:spacing w:after="0" w:line="240" w:lineRule="auto"/>
    </w:pPr>
    <w:rPr>
      <w:rFonts w:ascii="Segoe UI" w:hAnsi="Segoe UI" w:cs="Segoe UI"/>
      <w:sz w:val="18"/>
      <w:szCs w:val="18"/>
    </w:rPr>
  </w:style>
  <w:style w:type="paragraph" w:customStyle="1" w:styleId="En-tteetpieddepage">
    <w:name w:val="En-tête et pied de page"/>
    <w:basedOn w:val="Standard"/>
    <w:qFormat/>
    <w:pPr>
      <w:suppressLineNumbers/>
      <w:tabs>
        <w:tab w:val="center" w:pos="4819"/>
        <w:tab w:val="right" w:pos="9638"/>
      </w:tabs>
    </w:pPr>
  </w:style>
  <w:style w:type="paragraph" w:styleId="En-tte">
    <w:name w:val="header"/>
    <w:basedOn w:val="Standard"/>
    <w:pPr>
      <w:suppressLineNumbers/>
      <w:tabs>
        <w:tab w:val="center" w:pos="4536"/>
        <w:tab w:val="right" w:pos="9072"/>
      </w:tabs>
    </w:pPr>
  </w:style>
  <w:style w:type="paragraph" w:styleId="Pieddepage">
    <w:name w:val="footer"/>
    <w:basedOn w:val="Standard"/>
    <w:pPr>
      <w:suppressLineNumbers/>
      <w:tabs>
        <w:tab w:val="center" w:pos="4536"/>
        <w:tab w:val="right" w:pos="9072"/>
      </w:tabs>
    </w:pPr>
  </w:style>
  <w:style w:type="paragraph" w:customStyle="1" w:styleId="Default">
    <w:name w:val="Default"/>
    <w:qFormat/>
    <w:pPr>
      <w:textAlignment w:val="baseline"/>
    </w:pPr>
    <w:rPr>
      <w:rFonts w:ascii="Arial" w:hAnsi="Arial" w:cs="Arial"/>
      <w:color w:val="000000"/>
    </w:rPr>
  </w:style>
  <w:style w:type="paragraph" w:styleId="Paragraphedeliste">
    <w:name w:val="List Paragraph"/>
    <w:basedOn w:val="Standard"/>
    <w:qFormat/>
    <w:pPr>
      <w:ind w:left="720"/>
    </w:pPr>
  </w:style>
  <w:style w:type="paragraph" w:styleId="Rvision">
    <w:name w:val="Revision"/>
    <w:qFormat/>
    <w:pPr>
      <w:textAlignment w:val="baseline"/>
    </w:pPr>
  </w:style>
  <w:style w:type="paragraph" w:styleId="Notedebasdepage">
    <w:name w:val="footnote text"/>
    <w:basedOn w:val="Standard"/>
    <w:pPr>
      <w:spacing w:after="0" w:line="240" w:lineRule="auto"/>
    </w:pPr>
    <w:rPr>
      <w:sz w:val="20"/>
      <w:szCs w:val="20"/>
    </w:rPr>
  </w:style>
  <w:style w:type="paragraph" w:styleId="NormalWeb">
    <w:name w:val="Normal (Web)"/>
    <w:basedOn w:val="Standard"/>
    <w:qFormat/>
    <w:rPr>
      <w:rFonts w:ascii="Times New Roman" w:hAnsi="Times New Roman"/>
    </w:rPr>
  </w:style>
  <w:style w:type="paragraph" w:customStyle="1" w:styleId="name-article">
    <w:name w:val="name-article"/>
    <w:basedOn w:val="Standard"/>
    <w:qFormat/>
    <w:pPr>
      <w:spacing w:before="100" w:after="100" w:line="240" w:lineRule="auto"/>
    </w:pPr>
    <w:rPr>
      <w:rFonts w:ascii="Times New Roman" w:eastAsia="Times New Roman" w:hAnsi="Times New Roman"/>
    </w:rPr>
  </w:style>
  <w:style w:type="paragraph" w:customStyle="1" w:styleId="Date1">
    <w:name w:val="Date1"/>
    <w:basedOn w:val="Standard"/>
    <w:qFormat/>
    <w:pPr>
      <w:spacing w:before="100" w:after="100" w:line="240" w:lineRule="auto"/>
    </w:pPr>
    <w:rPr>
      <w:rFonts w:ascii="Times New Roman" w:eastAsia="Times New Roman" w:hAnsi="Times New Roman"/>
    </w:rPr>
  </w:style>
  <w:style w:type="paragraph" w:customStyle="1" w:styleId="Contenudetableau">
    <w:name w:val="Contenu de tableau"/>
    <w:basedOn w:val="Standard"/>
    <w:qFormat/>
    <w:pPr>
      <w:widowControl w:val="0"/>
      <w:suppressLineNumbers/>
    </w:pPr>
  </w:style>
  <w:style w:type="paragraph" w:customStyle="1" w:styleId="ng-scope">
    <w:name w:val="ng-scope"/>
    <w:basedOn w:val="Standard"/>
    <w:qFormat/>
    <w:pPr>
      <w:spacing w:before="100" w:after="100" w:line="240" w:lineRule="auto"/>
    </w:pPr>
    <w:rPr>
      <w:rFonts w:ascii="Times New Roman" w:hAnsi="Times New Roman"/>
    </w:rPr>
  </w:style>
  <w:style w:type="paragraph" w:customStyle="1" w:styleId="version-article">
    <w:name w:val="version-article"/>
    <w:basedOn w:val="Standard"/>
    <w:qFormat/>
    <w:pPr>
      <w:spacing w:before="100" w:after="100" w:line="240" w:lineRule="auto"/>
    </w:pPr>
    <w:rPr>
      <w:rFonts w:ascii="Times New Roman" w:hAnsi="Times New Roman"/>
    </w:rPr>
  </w:style>
  <w:style w:type="paragraph" w:customStyle="1" w:styleId="CM16">
    <w:name w:val="CM16"/>
    <w:basedOn w:val="Default"/>
    <w:qFormat/>
    <w:rPr>
      <w:rFonts w:cs="Times New Roman"/>
      <w:color w:val="00000A"/>
    </w:rPr>
  </w:style>
  <w:style w:type="paragraph" w:customStyle="1" w:styleId="CM2">
    <w:name w:val="CM2"/>
    <w:basedOn w:val="Default"/>
    <w:qFormat/>
    <w:pPr>
      <w:spacing w:line="231" w:lineRule="atLeast"/>
    </w:pPr>
    <w:rPr>
      <w:rFonts w:cs="Times New Roman"/>
      <w:color w:val="00000A"/>
    </w:rPr>
  </w:style>
  <w:style w:type="paragraph" w:customStyle="1" w:styleId="CM15">
    <w:name w:val="CM15"/>
    <w:basedOn w:val="Standard"/>
    <w:qFormat/>
    <w:pPr>
      <w:widowControl w:val="0"/>
      <w:spacing w:after="0" w:line="240" w:lineRule="auto"/>
    </w:pPr>
    <w:rPr>
      <w:rFonts w:ascii="TTE442A870t00" w:hAnsi="TTE442A870t00"/>
    </w:rPr>
  </w:style>
  <w:style w:type="paragraph" w:styleId="Sansinterligne">
    <w:name w:val="No Spacing"/>
    <w:qFormat/>
    <w:pPr>
      <w:spacing w:after="160" w:line="259" w:lineRule="auto"/>
      <w:textAlignment w:val="baseline"/>
    </w:pPr>
    <w:rPr>
      <w:sz w:val="22"/>
      <w:szCs w:val="22"/>
    </w:rPr>
  </w:style>
  <w:style w:type="paragraph" w:customStyle="1" w:styleId="RedTxt">
    <w:name w:val="RedTxt"/>
    <w:basedOn w:val="Standard"/>
    <w:qFormat/>
    <w:pPr>
      <w:keepLines/>
      <w:widowControl w:val="0"/>
      <w:spacing w:after="0" w:line="240" w:lineRule="auto"/>
    </w:pPr>
    <w:rPr>
      <w:rFonts w:ascii="Arial" w:hAnsi="Arial" w:cs="Arial"/>
      <w:sz w:val="18"/>
      <w:szCs w:val="18"/>
    </w:rPr>
  </w:style>
  <w:style w:type="numbering" w:customStyle="1" w:styleId="Pasdeliste">
    <w:name w:val="Pas de liste"/>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rchespublics596280.f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elerecours.f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rchespublics596280.f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marchespublics596280.f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13</Pages>
  <Words>5354</Words>
  <Characters>29451</Characters>
  <Application>Microsoft Office Word</Application>
  <DocSecurity>0</DocSecurity>
  <Lines>245</Lines>
  <Paragraphs>69</Paragraphs>
  <ScaleCrop>false</ScaleCrop>
  <Company>Departement du Nord</Company>
  <LinksUpToDate>false</LinksUpToDate>
  <CharactersWithSpaces>34736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MARTINEZ Antoine</dc:creator>
  <dc:description/>
  <cp:lastModifiedBy>DE BACKER Corinne</cp:lastModifiedBy>
  <cp:revision>6</cp:revision>
  <dcterms:created xsi:type="dcterms:W3CDTF">2026-05-25T09:13:00Z</dcterms:created>
  <dcterms:modified xsi:type="dcterms:W3CDTF">2026-05-27T06:49:00Z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