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410" w:rsidRDefault="005C1E92" w:rsidP="005C1E92">
      <w:pPr>
        <w:jc w:val="center"/>
      </w:pPr>
      <w:r>
        <w:rPr>
          <w:noProof/>
          <w:lang w:eastAsia="fr-FR"/>
        </w:rPr>
        <w:drawing>
          <wp:inline distT="0" distB="0" distL="0" distR="0" wp14:anchorId="2E6D998E">
            <wp:extent cx="1628775" cy="1095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pic:spPr>
                </pic:pic>
              </a:graphicData>
            </a:graphic>
          </wp:inline>
        </w:drawing>
      </w:r>
    </w:p>
    <w:p w:rsidR="005C1E92" w:rsidRDefault="005C1E92" w:rsidP="005C1E9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rsidR="005C1E92" w:rsidRPr="005C1E92" w:rsidRDefault="005C1E92" w:rsidP="005C1E9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5C1E92" w:rsidRPr="005C1E92" w:rsidTr="00DC5172">
        <w:tc>
          <w:tcPr>
            <w:tcW w:w="2518" w:type="dxa"/>
            <w:tcBorders>
              <w:top w:val="single" w:sz="4" w:space="0" w:color="FFFFFF"/>
              <w:left w:val="single" w:sz="4" w:space="0" w:color="FFFFFF"/>
              <w:bottom w:val="single" w:sz="4" w:space="0" w:color="FFFFFF"/>
            </w:tcBorders>
            <w:shd w:val="clear" w:color="auto" w:fill="auto"/>
          </w:tcPr>
          <w:p w:rsidR="005C1E92" w:rsidRPr="005C1E92" w:rsidRDefault="005C1E92" w:rsidP="005C1E92">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17617E"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6D43C1"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5</w:t>
            </w:r>
          </w:p>
        </w:tc>
        <w:tc>
          <w:tcPr>
            <w:tcW w:w="284" w:type="dxa"/>
            <w:tcBorders>
              <w:top w:val="single" w:sz="4" w:space="0" w:color="FFFFFF"/>
              <w:left w:val="single" w:sz="4" w:space="0" w:color="00000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r>
    </w:tbl>
    <w:p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bookmarkStart w:id="0" w:name="_GoBack"/>
      <w:bookmarkEnd w:id="0"/>
    </w:p>
    <w:p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rsidR="005C1E92" w:rsidRDefault="005C1E92" w:rsidP="005C1E9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5C1E92" w:rsidTr="00DC5172">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C1E92" w:rsidRDefault="005C1E92" w:rsidP="00F93E85">
            <w:pPr>
              <w:jc w:val="center"/>
            </w:pPr>
            <w:r>
              <w:rPr>
                <w:rFonts w:ascii="Arial Narrow" w:hAnsi="Arial Narrow"/>
                <w:b/>
                <w:sz w:val="36"/>
              </w:rPr>
              <w:t xml:space="preserve">ACTE D’ENGAGEMENT VALANT CAHIER DES CLAUSES </w:t>
            </w:r>
            <w:r w:rsidR="0017617E">
              <w:rPr>
                <w:rFonts w:ascii="Arial Narrow" w:hAnsi="Arial Narrow"/>
                <w:b/>
                <w:sz w:val="36"/>
              </w:rPr>
              <w:t xml:space="preserve">ADMINISTRATIVES </w:t>
            </w:r>
            <w:r>
              <w:rPr>
                <w:rFonts w:ascii="Arial Narrow" w:hAnsi="Arial Narrow"/>
                <w:b/>
                <w:sz w:val="36"/>
              </w:rPr>
              <w:t>PART</w:t>
            </w:r>
            <w:r w:rsidR="00F93E85">
              <w:rPr>
                <w:rFonts w:ascii="Arial Narrow" w:hAnsi="Arial Narrow"/>
                <w:b/>
                <w:sz w:val="36"/>
              </w:rPr>
              <w:t>I</w:t>
            </w:r>
            <w:r>
              <w:rPr>
                <w:rFonts w:ascii="Arial Narrow" w:hAnsi="Arial Narrow"/>
                <w:b/>
                <w:sz w:val="36"/>
              </w:rPr>
              <w:t>CULIERES</w:t>
            </w:r>
          </w:p>
        </w:tc>
      </w:tr>
    </w:tbl>
    <w:p w:rsidR="005C1E92" w:rsidRDefault="005C1E92" w:rsidP="005C1E92">
      <w:pPr>
        <w:suppressAutoHyphens/>
        <w:spacing w:after="0" w:line="240" w:lineRule="auto"/>
      </w:pPr>
    </w:p>
    <w:p w:rsidR="005C1E92" w:rsidRDefault="005C1E92" w:rsidP="005C1E92">
      <w:pPr>
        <w:suppressAutoHyphens/>
        <w:spacing w:after="0" w:line="240" w:lineRule="auto"/>
        <w:jc w:val="center"/>
        <w:rPr>
          <w:rFonts w:ascii="Arial Narrow" w:eastAsia="Times New Roman" w:hAnsi="Arial Narrow" w:cs="Arial"/>
          <w:lang w:eastAsia="ar-SA"/>
        </w:rPr>
      </w:pPr>
      <w:r w:rsidRPr="005C1E92">
        <w:rPr>
          <w:rFonts w:ascii="Arial Narrow" w:eastAsia="Times New Roman" w:hAnsi="Arial Narrow" w:cs="Arial"/>
          <w:lang w:eastAsia="ar-SA"/>
        </w:rPr>
        <w:t xml:space="preserve">Marché passé en procédure adaptée suivant les dispositions </w:t>
      </w:r>
      <w:r w:rsidR="00D323EF">
        <w:rPr>
          <w:rFonts w:ascii="Arial Narrow" w:eastAsia="Times New Roman" w:hAnsi="Arial Narrow" w:cs="Arial"/>
          <w:lang w:eastAsia="ar-SA"/>
        </w:rPr>
        <w:t>des articles R</w:t>
      </w:r>
      <w:r w:rsidR="00535F01">
        <w:rPr>
          <w:rFonts w:ascii="Arial Narrow" w:eastAsia="Times New Roman" w:hAnsi="Arial Narrow" w:cs="Arial"/>
          <w:lang w:eastAsia="ar-SA"/>
        </w:rPr>
        <w:t>.</w:t>
      </w:r>
      <w:r w:rsidR="00D323EF">
        <w:rPr>
          <w:rFonts w:ascii="Arial Narrow" w:eastAsia="Times New Roman" w:hAnsi="Arial Narrow" w:cs="Arial"/>
          <w:lang w:eastAsia="ar-SA"/>
        </w:rPr>
        <w:t>2123-1 et R.2123-4 à R.2123-6</w:t>
      </w:r>
      <w:r w:rsidRPr="005C1E92">
        <w:rPr>
          <w:rFonts w:ascii="Arial Narrow" w:eastAsia="Times New Roman" w:hAnsi="Arial Narrow" w:cs="Arial"/>
          <w:lang w:eastAsia="ar-SA"/>
        </w:rPr>
        <w:t xml:space="preserve"> du </w:t>
      </w:r>
      <w:r w:rsidR="00D323EF">
        <w:rPr>
          <w:rFonts w:ascii="Arial Narrow" w:eastAsia="Times New Roman" w:hAnsi="Arial Narrow" w:cs="Arial"/>
          <w:lang w:eastAsia="ar-SA"/>
        </w:rPr>
        <w:t>Code de la Commande Publique</w:t>
      </w:r>
    </w:p>
    <w:p w:rsidR="005C1E92" w:rsidRDefault="005C1E92" w:rsidP="005C1E92">
      <w:pPr>
        <w:suppressAutoHyphens/>
        <w:spacing w:after="0" w:line="240" w:lineRule="auto"/>
        <w:jc w:val="center"/>
        <w:rPr>
          <w:rFonts w:ascii="Arial Narrow" w:eastAsia="Times New Roman" w:hAnsi="Arial Narrow" w:cs="Arial"/>
          <w:lang w:eastAsia="ar-SA"/>
        </w:rPr>
      </w:pPr>
    </w:p>
    <w:p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extent cx="5722620" cy="647700"/>
                <wp:effectExtent l="0" t="0" r="11430" b="19050"/>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6477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8E3932" w:rsidRPr="0069455E" w:rsidRDefault="008E3932" w:rsidP="008E3932">
                            <w:pPr>
                              <w:jc w:val="center"/>
                              <w:rPr>
                                <w:rFonts w:ascii="Arial Narrow" w:hAnsi="Arial Narrow"/>
                                <w:b/>
                                <w:sz w:val="28"/>
                                <w:szCs w:val="28"/>
                              </w:rPr>
                            </w:pPr>
                            <w:r>
                              <w:rPr>
                                <w:rFonts w:ascii="Arial Narrow" w:hAnsi="Arial Narrow"/>
                                <w:b/>
                                <w:sz w:val="28"/>
                                <w:szCs w:val="28"/>
                              </w:rPr>
                              <w:t>Vérification, entretien, fourniture et pose de défibrillateurs (comprenant un volet formations) pour la Ville de LOOS (59120)</w:t>
                            </w:r>
                          </w:p>
                          <w:p w:rsidR="00600DCA" w:rsidRPr="00A05861" w:rsidRDefault="00600DCA" w:rsidP="0017617E">
                            <w:pPr>
                              <w:jc w:val="center"/>
                              <w:rPr>
                                <w:i/>
                                <w:sz w:val="32"/>
                                <w:szCs w:val="32"/>
                              </w:rPr>
                            </w:pPr>
                            <w:r w:rsidRPr="0017617E">
                              <w:rPr>
                                <w:rFonts w:ascii="Arial Narrow" w:eastAsia="Calibri" w:hAnsi="Arial Narrow" w:cs="Times New Roman"/>
                                <w:b/>
                                <w:sz w:val="28"/>
                                <w:szCs w:val="28"/>
                              </w:rPr>
                              <w:br/>
                            </w:r>
                            <w:r w:rsidRPr="00F93E85">
                              <w:rPr>
                                <w:rFonts w:ascii="Arial Narrow" w:eastAsia="Calibri" w:hAnsi="Arial Narrow" w:cs="Times New Roman"/>
                                <w:b/>
                                <w:sz w:val="28"/>
                                <w:szCs w:val="2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ectangle à coins arrondis 11" o:spid="_x0000_s1026" style="width:450.6pt;height:5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b/knQIAAFIFAAAOAAAAZHJzL2Uyb0RvYy54bWysVM1u2zAMvg/YOwi6r06CrN2MOkXQIsOA&#10;oC3WDj0zshwLk0RNUuJkT7N32YuNkp02/TkN00Egxf+PpM4vdkazrfRBoa34+GTEmbQCa2XXFf9+&#10;v/jwibMQwdag0cqK72XgF7P37847V8oJtqhr6Rk5saHsXMXbGF1ZFEG00kA4QSctCRv0BiKxfl3U&#10;HjrybnQxGY1Oiw597TwKGQK9XvVCPsv+m0aKeNM0QUamK065xXz7fK/SXczOoVx7cK0SQxrwD1kY&#10;UJaCPrq6gghs49UrV0YJjwGbeCLQFNg0SshcA1UzHr2o5q4FJ3MtBE5wjzCF/+dWXG9vPVM19W7M&#10;mQVDPfpGqIFda8n+/GYClQ0MvEdbq8BIiyDrXCjJ8s7d+lR0cEsUPwIJimeSxIRBZ9d4k3SpZLbL&#10;+O8f8Ze7yAQ9fjybTE4n1CZBstPp2dkoN6iA8mDtfIhfJBqWiIp73Ng6pZuxh+0yxJQElAe9nB1q&#10;VS+U1pnZh0vt2RZoHmiMauw40xAiPVZ8kU8qkFyEYzNtWUcQTVJGTAANaqMhEmkcQRfsmjPQa9oA&#10;EX3O5Zl1eBX0nko+CjzK563AqZArCG2fcfbaz6xRkRZHK1PxT8fW2qYyZR79AY6nNiQq7la7oYUr&#10;rPfUfY/9WgQnForiLQmPW/C0B1Qs7Xa8oavRSAjgQHHWov/11nvSp/EkKWcd7RWh83MDXlK1Xy0N&#10;7ufxdJoWMTNT6jgx/liyOpbYjblEahXNJmWXyaQf9YFsPJoH+gLmKSqJwAqK3fdhYC5jv+/0iQg5&#10;n2c1Wj4HcWnvnEjOE2QJ6fvdA3g3DFekHl3jYQehfDFevW6ytDjfRGxUnr0EcY/rsA20uHmehk8m&#10;/QzHfNZ6+gpnfwEAAP//AwBQSwMEFAAGAAgAAAAhAFPeEDneAAAABQEAAA8AAABkcnMvZG93bnJl&#10;di54bWxMj8FOwzAQRO9I/IO1SFwQtRvRCtI4VQFx6QFoCXc33iaBeB1itw39ehYu5TLSakYzb7P5&#10;4Fqxxz40njSMRwoEUultQ5WG4u3p+hZEiIasaT2hhm8MMM/PzzKTWn+gFe7XsRJcQiE1GuoYu1TK&#10;UNboTBj5Dom9re+diXz2lbS9OXC5a2Wi1FQ60xAv1KbDhxrLz/XOaXg/fjyv7icvi2J5bG4mj1fL&#10;onj90vryYljMQEQc4ikMv/iMDjkzbfyObBCtBn4k/il7d2qcgNhwSCUKZJ7J//T5DwAAAP//AwBQ&#10;SwECLQAUAAYACAAAACEAtoM4kv4AAADhAQAAEwAAAAAAAAAAAAAAAAAAAAAAW0NvbnRlbnRfVHlw&#10;ZXNdLnhtbFBLAQItABQABgAIAAAAIQA4/SH/1gAAAJQBAAALAAAAAAAAAAAAAAAAAC8BAABfcmVs&#10;cy8ucmVsc1BLAQItABQABgAIAAAAIQBCwb/knQIAAFIFAAAOAAAAAAAAAAAAAAAAAC4CAABkcnMv&#10;ZTJvRG9jLnhtbFBLAQItABQABgAIAAAAIQBT3hA53gAAAAUBAAAPAAAAAAAAAAAAAAAAAPcEAABk&#10;cnMvZG93bnJldi54bWxQSwUGAAAAAAQABADzAAAAAgYAAAAA&#10;" fillcolor="window" strokecolor="windowText" strokeweight="1pt">
                <v:stroke joinstyle="miter"/>
                <v:path arrowok="t"/>
                <v:textbox>
                  <w:txbxContent>
                    <w:p w:rsidR="008E3932" w:rsidRPr="0069455E" w:rsidRDefault="008E3932" w:rsidP="008E3932">
                      <w:pPr>
                        <w:jc w:val="center"/>
                        <w:rPr>
                          <w:rFonts w:ascii="Arial Narrow" w:hAnsi="Arial Narrow"/>
                          <w:b/>
                          <w:sz w:val="28"/>
                          <w:szCs w:val="28"/>
                        </w:rPr>
                      </w:pPr>
                      <w:r>
                        <w:rPr>
                          <w:rFonts w:ascii="Arial Narrow" w:hAnsi="Arial Narrow"/>
                          <w:b/>
                          <w:sz w:val="28"/>
                          <w:szCs w:val="28"/>
                        </w:rPr>
                        <w:t>Vérification, entretien, fourniture et pose de défibrillateurs (comprenant un volet formations) pour la Ville de LOOS (59120)</w:t>
                      </w:r>
                    </w:p>
                    <w:p w:rsidR="00600DCA" w:rsidRPr="00A05861" w:rsidRDefault="00600DCA" w:rsidP="0017617E">
                      <w:pPr>
                        <w:jc w:val="center"/>
                        <w:rPr>
                          <w:i/>
                          <w:sz w:val="32"/>
                          <w:szCs w:val="32"/>
                        </w:rPr>
                      </w:pPr>
                      <w:r w:rsidRPr="0017617E">
                        <w:rPr>
                          <w:rFonts w:ascii="Arial Narrow" w:eastAsia="Calibri" w:hAnsi="Arial Narrow" w:cs="Times New Roman"/>
                          <w:b/>
                          <w:sz w:val="28"/>
                          <w:szCs w:val="28"/>
                        </w:rPr>
                        <w:br/>
                      </w:r>
                      <w:r w:rsidRPr="00F93E85">
                        <w:rPr>
                          <w:rFonts w:ascii="Arial Narrow" w:eastAsia="Calibri" w:hAnsi="Arial Narrow" w:cs="Times New Roman"/>
                          <w:b/>
                          <w:sz w:val="28"/>
                          <w:szCs w:val="28"/>
                        </w:rPr>
                        <w:br/>
                      </w:r>
                    </w:p>
                  </w:txbxContent>
                </v:textbox>
                <w10:anchorlock/>
              </v:roundrect>
            </w:pict>
          </mc:Fallback>
        </mc:AlternateContent>
      </w:r>
    </w:p>
    <w:p w:rsidR="005C1E92" w:rsidRDefault="005C1E92" w:rsidP="005C1E92">
      <w:pPr>
        <w:jc w:val="center"/>
        <w:rPr>
          <w:color w:val="808080" w:themeColor="background1" w:themeShade="80"/>
        </w:rPr>
      </w:pPr>
    </w:p>
    <w:tbl>
      <w:tblPr>
        <w:tblW w:w="0" w:type="auto"/>
        <w:tblLayout w:type="fixed"/>
        <w:tblLook w:val="0000" w:firstRow="0" w:lastRow="0" w:firstColumn="0" w:lastColumn="0" w:noHBand="0" w:noVBand="0"/>
      </w:tblPr>
      <w:tblGrid>
        <w:gridCol w:w="3262"/>
        <w:gridCol w:w="6024"/>
      </w:tblGrid>
      <w:tr w:rsidR="0017617E" w:rsidRPr="0017617E" w:rsidTr="0082242E">
        <w:tc>
          <w:tcPr>
            <w:tcW w:w="3262" w:type="dxa"/>
            <w:shd w:val="clear" w:color="auto" w:fill="auto"/>
            <w:vAlign w:val="center"/>
          </w:tcPr>
          <w:p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eastAsia="Times New Roman" w:cs="Arial"/>
                <w:caps/>
                <w:sz w:val="20"/>
                <w:szCs w:val="24"/>
                <w:lang w:eastAsia="ar-SA"/>
              </w:rPr>
              <w:t>Identification de la collectivite</w:t>
            </w:r>
          </w:p>
        </w:tc>
        <w:tc>
          <w:tcPr>
            <w:tcW w:w="6024" w:type="dxa"/>
            <w:shd w:val="clear" w:color="auto" w:fill="auto"/>
            <w:vAlign w:val="center"/>
          </w:tcPr>
          <w:p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ascii="Arial Narrow" w:eastAsia="Times New Roman" w:hAnsi="Arial Narrow" w:cs="Arial"/>
                <w:b/>
                <w:sz w:val="20"/>
                <w:szCs w:val="24"/>
                <w:lang w:eastAsia="ar-SA"/>
              </w:rPr>
              <w:t>Ville de Loos, Madame le Maire</w:t>
            </w:r>
          </w:p>
          <w:p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ascii="Arial Narrow" w:eastAsia="Times New Roman" w:hAnsi="Arial Narrow" w:cs="Arial"/>
                <w:b/>
                <w:sz w:val="20"/>
                <w:szCs w:val="24"/>
                <w:lang w:eastAsia="ar-SA"/>
              </w:rPr>
              <w:t>Hôtel de Ville - BP 109</w:t>
            </w:r>
          </w:p>
          <w:p w:rsidR="0017617E" w:rsidRPr="0017617E" w:rsidRDefault="0017617E" w:rsidP="0017617E">
            <w:pPr>
              <w:suppressAutoHyphens/>
              <w:spacing w:after="0" w:line="240" w:lineRule="auto"/>
              <w:jc w:val="left"/>
              <w:rPr>
                <w:rFonts w:eastAsia="Times New Roman" w:cs="Arial"/>
                <w:sz w:val="24"/>
                <w:szCs w:val="24"/>
                <w:lang w:eastAsia="ar-SA"/>
              </w:rPr>
            </w:pPr>
            <w:r w:rsidRPr="0017617E">
              <w:rPr>
                <w:rFonts w:ascii="Arial Narrow" w:eastAsia="Times New Roman" w:hAnsi="Arial Narrow" w:cs="Arial"/>
                <w:b/>
                <w:sz w:val="20"/>
                <w:szCs w:val="24"/>
                <w:lang w:eastAsia="ar-SA"/>
              </w:rPr>
              <w:t>59373 LOOS Cedex</w:t>
            </w:r>
          </w:p>
        </w:tc>
      </w:tr>
    </w:tbl>
    <w:p w:rsidR="0017617E" w:rsidRPr="0017617E" w:rsidRDefault="0017617E" w:rsidP="0017617E">
      <w:pPr>
        <w:tabs>
          <w:tab w:val="left" w:pos="0"/>
        </w:tabs>
        <w:suppressAutoHyphens/>
        <w:spacing w:after="0" w:line="100" w:lineRule="atLeast"/>
        <w:ind w:left="432"/>
        <w:jc w:val="left"/>
        <w:rPr>
          <w:rFonts w:eastAsia="Times New Roman" w:cs="Arial"/>
          <w:sz w:val="24"/>
          <w:szCs w:val="24"/>
          <w:lang w:eastAsia="ar-SA"/>
        </w:rPr>
      </w:pPr>
    </w:p>
    <w:tbl>
      <w:tblPr>
        <w:tblW w:w="0" w:type="auto"/>
        <w:tblLayout w:type="fixed"/>
        <w:tblLook w:val="0000" w:firstRow="0" w:lastRow="0" w:firstColumn="0" w:lastColumn="0" w:noHBand="0" w:noVBand="0"/>
      </w:tblPr>
      <w:tblGrid>
        <w:gridCol w:w="3260"/>
        <w:gridCol w:w="6026"/>
      </w:tblGrid>
      <w:tr w:rsidR="0017617E" w:rsidRPr="0017617E" w:rsidTr="0082242E">
        <w:tc>
          <w:tcPr>
            <w:tcW w:w="3260" w:type="dxa"/>
            <w:shd w:val="clear" w:color="auto" w:fill="auto"/>
            <w:vAlign w:val="center"/>
          </w:tcPr>
          <w:p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eastAsia="Times New Roman" w:cs="Arial"/>
                <w:caps/>
                <w:sz w:val="20"/>
                <w:szCs w:val="24"/>
                <w:lang w:eastAsia="ar-SA"/>
              </w:rPr>
              <w:t>ordonnateur</w:t>
            </w:r>
          </w:p>
        </w:tc>
        <w:tc>
          <w:tcPr>
            <w:tcW w:w="6026" w:type="dxa"/>
            <w:shd w:val="clear" w:color="auto" w:fill="auto"/>
            <w:vAlign w:val="center"/>
          </w:tcPr>
          <w:p w:rsidR="0017617E" w:rsidRPr="0017617E" w:rsidRDefault="0017617E" w:rsidP="0017617E">
            <w:pPr>
              <w:suppressAutoHyphens/>
              <w:spacing w:after="0" w:line="240" w:lineRule="auto"/>
              <w:jc w:val="left"/>
              <w:rPr>
                <w:rFonts w:eastAsia="Times New Roman" w:cs="Arial"/>
                <w:sz w:val="24"/>
                <w:szCs w:val="24"/>
                <w:lang w:eastAsia="ar-SA"/>
              </w:rPr>
            </w:pPr>
            <w:r w:rsidRPr="0017617E">
              <w:rPr>
                <w:rFonts w:ascii="Arial Narrow" w:eastAsia="Times New Roman" w:hAnsi="Arial Narrow" w:cs="Arial"/>
                <w:b/>
                <w:sz w:val="20"/>
                <w:szCs w:val="24"/>
                <w:lang w:eastAsia="ar-SA"/>
              </w:rPr>
              <w:t>Madame le Maire de LOOS</w:t>
            </w:r>
          </w:p>
        </w:tc>
      </w:tr>
    </w:tbl>
    <w:p w:rsidR="0017617E" w:rsidRPr="0017617E" w:rsidRDefault="0017617E" w:rsidP="0017617E">
      <w:pPr>
        <w:suppressAutoHyphens/>
        <w:spacing w:after="0" w:line="240" w:lineRule="auto"/>
        <w:jc w:val="left"/>
        <w:rPr>
          <w:rFonts w:eastAsia="Times New Roman" w:cs="Arial"/>
          <w:sz w:val="24"/>
          <w:szCs w:val="24"/>
          <w:lang w:eastAsia="ar-SA"/>
        </w:rPr>
      </w:pPr>
    </w:p>
    <w:tbl>
      <w:tblPr>
        <w:tblW w:w="9286" w:type="dxa"/>
        <w:tblLayout w:type="fixed"/>
        <w:tblLook w:val="0000" w:firstRow="0" w:lastRow="0" w:firstColumn="0" w:lastColumn="0" w:noHBand="0" w:noVBand="0"/>
      </w:tblPr>
      <w:tblGrid>
        <w:gridCol w:w="3255"/>
        <w:gridCol w:w="6031"/>
      </w:tblGrid>
      <w:tr w:rsidR="0017617E" w:rsidRPr="0017617E" w:rsidTr="008E3932">
        <w:tc>
          <w:tcPr>
            <w:tcW w:w="3255" w:type="dxa"/>
            <w:shd w:val="clear" w:color="auto" w:fill="auto"/>
            <w:vAlign w:val="center"/>
          </w:tcPr>
          <w:p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eastAsia="Times New Roman" w:cs="Arial"/>
                <w:caps/>
                <w:sz w:val="20"/>
                <w:szCs w:val="24"/>
                <w:lang w:eastAsia="ar-SA"/>
              </w:rPr>
              <w:t>COMPTABLE PUBLIC ASSIGNATAIRE DES PAIEMENTS</w:t>
            </w:r>
          </w:p>
        </w:tc>
        <w:tc>
          <w:tcPr>
            <w:tcW w:w="6031" w:type="dxa"/>
            <w:shd w:val="clear" w:color="auto" w:fill="auto"/>
            <w:vAlign w:val="center"/>
          </w:tcPr>
          <w:p w:rsidR="006C2A2C" w:rsidRDefault="006C2A2C" w:rsidP="006C2A2C">
            <w:pPr>
              <w:tabs>
                <w:tab w:val="left" w:pos="720"/>
              </w:tabs>
              <w:spacing w:after="0" w:line="240" w:lineRule="auto"/>
              <w:rPr>
                <w:rFonts w:ascii="Arial Narrow" w:eastAsia="Times New Roman" w:hAnsi="Arial Narrow" w:cs="Arial Narrow"/>
                <w:b/>
                <w:kern w:val="2"/>
                <w:sz w:val="20"/>
                <w:szCs w:val="24"/>
                <w:lang w:eastAsia="ar-SA"/>
              </w:rPr>
            </w:pPr>
            <w:r>
              <w:rPr>
                <w:rFonts w:ascii="Arial Narrow" w:eastAsia="Times New Roman" w:hAnsi="Arial Narrow" w:cs="Arial Narrow"/>
                <w:b/>
                <w:sz w:val="20"/>
                <w:szCs w:val="24"/>
                <w:lang w:eastAsia="ar-SA"/>
              </w:rPr>
              <w:t>Service de gestion comptable d’Armentières</w:t>
            </w:r>
          </w:p>
          <w:p w:rsidR="006C2A2C" w:rsidRDefault="006C2A2C" w:rsidP="006C2A2C">
            <w:pPr>
              <w:tabs>
                <w:tab w:val="left" w:pos="426"/>
                <w:tab w:val="left" w:pos="851"/>
              </w:tabs>
              <w:spacing w:after="0" w:line="100" w:lineRule="atLeast"/>
              <w:ind w:left="1134" w:hanging="1134"/>
              <w:rPr>
                <w:rFonts w:ascii="Arial Narrow" w:eastAsia="Times New Roman" w:hAnsi="Arial Narrow" w:cs="Arial Narrow"/>
                <w:b/>
                <w:kern w:val="2"/>
                <w:sz w:val="20"/>
                <w:szCs w:val="24"/>
                <w:lang w:eastAsia="ar-SA"/>
              </w:rPr>
            </w:pPr>
            <w:r>
              <w:rPr>
                <w:rFonts w:ascii="Arial Narrow" w:eastAsia="Times New Roman" w:hAnsi="Arial Narrow" w:cs="Arial Narrow"/>
                <w:b/>
                <w:kern w:val="2"/>
                <w:sz w:val="20"/>
                <w:szCs w:val="24"/>
                <w:lang w:eastAsia="ar-SA"/>
              </w:rPr>
              <w:t>22 rue Sadi Carnot</w:t>
            </w:r>
          </w:p>
          <w:p w:rsidR="006C2A2C" w:rsidRDefault="006C2A2C" w:rsidP="006C2A2C">
            <w:pPr>
              <w:tabs>
                <w:tab w:val="left" w:pos="426"/>
                <w:tab w:val="left" w:pos="851"/>
              </w:tabs>
              <w:spacing w:after="0" w:line="100" w:lineRule="atLeast"/>
              <w:ind w:left="1134" w:hanging="1134"/>
              <w:rPr>
                <w:rFonts w:ascii="Arial Narrow" w:eastAsia="Times New Roman" w:hAnsi="Arial Narrow" w:cs="Arial Narrow"/>
                <w:b/>
                <w:sz w:val="20"/>
                <w:szCs w:val="24"/>
                <w:lang w:eastAsia="ar-SA"/>
              </w:rPr>
            </w:pPr>
            <w:r>
              <w:rPr>
                <w:rFonts w:ascii="Arial Narrow" w:eastAsia="Times New Roman" w:hAnsi="Arial Narrow" w:cs="Arial Narrow"/>
                <w:b/>
                <w:kern w:val="2"/>
                <w:sz w:val="20"/>
                <w:szCs w:val="24"/>
                <w:lang w:eastAsia="ar-SA"/>
              </w:rPr>
              <w:t>BP 90009</w:t>
            </w:r>
          </w:p>
          <w:p w:rsidR="006C2A2C" w:rsidRDefault="006C2A2C" w:rsidP="006C2A2C">
            <w:pPr>
              <w:spacing w:after="0" w:line="240" w:lineRule="auto"/>
              <w:rPr>
                <w:rFonts w:eastAsia="Times New Roman"/>
                <w:sz w:val="24"/>
                <w:szCs w:val="24"/>
                <w:lang w:eastAsia="ar-SA"/>
              </w:rPr>
            </w:pPr>
            <w:r>
              <w:rPr>
                <w:rFonts w:ascii="Arial Narrow" w:eastAsia="Times New Roman" w:hAnsi="Arial Narrow" w:cs="Arial Narrow"/>
                <w:b/>
                <w:sz w:val="20"/>
                <w:szCs w:val="24"/>
                <w:lang w:eastAsia="ar-SA"/>
              </w:rPr>
              <w:t xml:space="preserve">59427 Armentières </w:t>
            </w:r>
            <w:proofErr w:type="spellStart"/>
            <w:r>
              <w:rPr>
                <w:rFonts w:ascii="Arial Narrow" w:eastAsia="Times New Roman" w:hAnsi="Arial Narrow" w:cs="Arial Narrow"/>
                <w:b/>
                <w:sz w:val="20"/>
                <w:szCs w:val="24"/>
                <w:lang w:eastAsia="ar-SA"/>
              </w:rPr>
              <w:t>Cédex</w:t>
            </w:r>
            <w:proofErr w:type="spellEnd"/>
          </w:p>
          <w:p w:rsidR="0017617E" w:rsidRPr="0017617E" w:rsidRDefault="0017617E" w:rsidP="0017617E">
            <w:pPr>
              <w:suppressAutoHyphens/>
              <w:spacing w:after="0" w:line="240" w:lineRule="auto"/>
              <w:jc w:val="left"/>
              <w:rPr>
                <w:rFonts w:eastAsia="Times New Roman" w:cs="Arial"/>
                <w:sz w:val="24"/>
                <w:szCs w:val="24"/>
                <w:lang w:eastAsia="ar-SA"/>
              </w:rPr>
            </w:pPr>
          </w:p>
        </w:tc>
      </w:tr>
    </w:tbl>
    <w:p w:rsidR="008E3932" w:rsidRDefault="008E3932" w:rsidP="008E3932">
      <w:pPr>
        <w:suppressAutoHyphens/>
        <w:spacing w:after="0" w:line="240" w:lineRule="auto"/>
        <w:rPr>
          <w:rFonts w:ascii="Arial Narrow" w:eastAsia="Times New Roman" w:hAnsi="Arial Narrow" w:cs="Arial"/>
          <w:b/>
          <w:sz w:val="20"/>
          <w:szCs w:val="20"/>
          <w:lang w:eastAsia="ar-SA"/>
        </w:rPr>
      </w:pPr>
      <w:r w:rsidRPr="007654E5">
        <w:rPr>
          <w:rFonts w:eastAsia="Times New Roman" w:cs="Arial"/>
          <w:sz w:val="20"/>
          <w:szCs w:val="20"/>
          <w:lang w:eastAsia="ar-SA"/>
        </w:rPr>
        <w:t>CODE CPV</w:t>
      </w:r>
      <w:r w:rsidRPr="007654E5">
        <w:rPr>
          <w:rFonts w:eastAsia="Times New Roman" w:cs="Arial"/>
          <w:sz w:val="20"/>
          <w:szCs w:val="20"/>
          <w:lang w:eastAsia="ar-SA"/>
        </w:rPr>
        <w:tab/>
      </w:r>
      <w:r w:rsidRPr="007654E5">
        <w:rPr>
          <w:rFonts w:eastAsia="Times New Roman" w:cs="Arial"/>
          <w:sz w:val="20"/>
          <w:szCs w:val="20"/>
          <w:lang w:eastAsia="ar-SA"/>
        </w:rPr>
        <w:tab/>
      </w:r>
      <w:r w:rsidRPr="007654E5">
        <w:rPr>
          <w:rFonts w:eastAsia="Times New Roman" w:cs="Arial"/>
          <w:sz w:val="20"/>
          <w:szCs w:val="20"/>
          <w:lang w:eastAsia="ar-SA"/>
        </w:rPr>
        <w:tab/>
      </w:r>
      <w:r>
        <w:rPr>
          <w:rFonts w:ascii="Arial Narrow" w:eastAsia="Times New Roman" w:hAnsi="Arial Narrow" w:cs="Arial"/>
          <w:b/>
          <w:sz w:val="20"/>
          <w:szCs w:val="20"/>
          <w:lang w:eastAsia="ar-SA"/>
        </w:rPr>
        <w:t>33182100-0</w:t>
      </w:r>
      <w:r w:rsidRPr="00ED5FED">
        <w:rPr>
          <w:rFonts w:ascii="Arial Narrow" w:eastAsia="Times New Roman" w:hAnsi="Arial Narrow" w:cs="Arial"/>
          <w:b/>
          <w:sz w:val="20"/>
          <w:szCs w:val="20"/>
          <w:lang w:eastAsia="ar-SA"/>
        </w:rPr>
        <w:tab/>
      </w:r>
      <w:r>
        <w:rPr>
          <w:rFonts w:ascii="Arial Narrow" w:eastAsia="Times New Roman" w:hAnsi="Arial Narrow" w:cs="Arial"/>
          <w:b/>
          <w:sz w:val="20"/>
          <w:szCs w:val="20"/>
          <w:lang w:eastAsia="ar-SA"/>
        </w:rPr>
        <w:t>Défibrillateurs</w:t>
      </w:r>
      <w:r w:rsidRPr="00ED5FED">
        <w:rPr>
          <w:rFonts w:ascii="Arial Narrow" w:eastAsia="Times New Roman" w:hAnsi="Arial Narrow" w:cs="Arial"/>
          <w:b/>
          <w:sz w:val="20"/>
          <w:szCs w:val="20"/>
          <w:lang w:eastAsia="ar-SA"/>
        </w:rPr>
        <w:t>.</w:t>
      </w:r>
    </w:p>
    <w:p w:rsidR="008E3932" w:rsidRDefault="008E3932">
      <w:pPr>
        <w:pStyle w:val="En-ttedetabledesmatires"/>
        <w:rPr>
          <w:rFonts w:ascii="Arial" w:eastAsiaTheme="minorHAnsi" w:hAnsi="Arial" w:cstheme="minorBidi"/>
          <w:color w:val="auto"/>
          <w:sz w:val="22"/>
          <w:szCs w:val="22"/>
          <w:lang w:eastAsia="en-US"/>
        </w:rPr>
      </w:pPr>
    </w:p>
    <w:p w:rsidR="008E3932" w:rsidRDefault="008E3932" w:rsidP="008E3932"/>
    <w:p w:rsidR="008E3932" w:rsidRDefault="008E3932" w:rsidP="008E3932"/>
    <w:p w:rsidR="008E3932" w:rsidRDefault="008E3932" w:rsidP="008E3932"/>
    <w:p w:rsidR="008E3932" w:rsidRDefault="008E3932" w:rsidP="008E3932"/>
    <w:p w:rsidR="008E3932" w:rsidRDefault="008E3932" w:rsidP="008E3932"/>
    <w:p w:rsidR="008E3932" w:rsidRDefault="008E3932" w:rsidP="008E3932"/>
    <w:p w:rsidR="008E3932" w:rsidRDefault="008E3932" w:rsidP="008E3932"/>
    <w:p w:rsidR="008E3932" w:rsidRDefault="008E3932" w:rsidP="008E3932"/>
    <w:p w:rsidR="008E3932" w:rsidRDefault="008E3932" w:rsidP="008E3932"/>
    <w:sdt>
      <w:sdtPr>
        <w:id w:val="-96711743"/>
        <w:docPartObj>
          <w:docPartGallery w:val="Table of Contents"/>
          <w:docPartUnique/>
        </w:docPartObj>
      </w:sdtPr>
      <w:sdtEndPr>
        <w:rPr>
          <w:b/>
          <w:bCs/>
        </w:rPr>
      </w:sdtEndPr>
      <w:sdtContent>
        <w:p w:rsidR="00FB5F08" w:rsidRPr="008E3932" w:rsidRDefault="00FB5F08" w:rsidP="008E3932"/>
        <w:p w:rsidR="00C31A09" w:rsidRDefault="00FB5F08">
          <w:pPr>
            <w:pStyle w:val="TM1"/>
            <w:tabs>
              <w:tab w:val="right" w:leader="dot" w:pos="9062"/>
            </w:tabs>
            <w:rPr>
              <w:rFonts w:asciiTheme="minorHAnsi" w:eastAsiaTheme="minorEastAsia" w:hAnsiTheme="minorHAnsi"/>
              <w:noProof/>
              <w:lang w:eastAsia="fr-FR"/>
            </w:rPr>
          </w:pPr>
          <w:r>
            <w:fldChar w:fldCharType="begin"/>
          </w:r>
          <w:r>
            <w:instrText xml:space="preserve"> TOC \o "1-3" \h \z \u </w:instrText>
          </w:r>
          <w:r>
            <w:fldChar w:fldCharType="separate"/>
          </w:r>
          <w:hyperlink w:anchor="_Toc184896384" w:history="1">
            <w:r w:rsidR="00C31A09" w:rsidRPr="00AB4B2D">
              <w:rPr>
                <w:rStyle w:val="Lienhypertexte"/>
                <w:rFonts w:eastAsia="Times New Roman"/>
                <w:noProof/>
                <w:lang w:eastAsia="ar-SA"/>
              </w:rPr>
              <w:t>ARTICLE 1 : IDENTIFICATION DE LA COLLECTIVITE</w:t>
            </w:r>
            <w:r w:rsidR="00C31A09">
              <w:rPr>
                <w:noProof/>
                <w:webHidden/>
              </w:rPr>
              <w:tab/>
            </w:r>
            <w:r w:rsidR="00C31A09">
              <w:rPr>
                <w:noProof/>
                <w:webHidden/>
              </w:rPr>
              <w:fldChar w:fldCharType="begin"/>
            </w:r>
            <w:r w:rsidR="00C31A09">
              <w:rPr>
                <w:noProof/>
                <w:webHidden/>
              </w:rPr>
              <w:instrText xml:space="preserve"> PAGEREF _Toc184896384 \h </w:instrText>
            </w:r>
            <w:r w:rsidR="00C31A09">
              <w:rPr>
                <w:noProof/>
                <w:webHidden/>
              </w:rPr>
            </w:r>
            <w:r w:rsidR="00C31A09">
              <w:rPr>
                <w:noProof/>
                <w:webHidden/>
              </w:rPr>
              <w:fldChar w:fldCharType="separate"/>
            </w:r>
            <w:r w:rsidR="008E10C2">
              <w:rPr>
                <w:noProof/>
                <w:webHidden/>
              </w:rPr>
              <w:t>3</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85" w:history="1">
            <w:r w:rsidR="00C31A09" w:rsidRPr="00AB4B2D">
              <w:rPr>
                <w:rStyle w:val="Lienhypertexte"/>
                <w:rFonts w:eastAsia="Times New Roman"/>
                <w:noProof/>
                <w:lang w:eastAsia="ar-SA"/>
              </w:rPr>
              <w:t>ARTICLE 2 : CONTRACTANT(S)</w:t>
            </w:r>
            <w:r w:rsidR="00C31A09">
              <w:rPr>
                <w:noProof/>
                <w:webHidden/>
              </w:rPr>
              <w:tab/>
            </w:r>
            <w:r w:rsidR="00C31A09">
              <w:rPr>
                <w:noProof/>
                <w:webHidden/>
              </w:rPr>
              <w:fldChar w:fldCharType="begin"/>
            </w:r>
            <w:r w:rsidR="00C31A09">
              <w:rPr>
                <w:noProof/>
                <w:webHidden/>
              </w:rPr>
              <w:instrText xml:space="preserve"> PAGEREF _Toc184896385 \h </w:instrText>
            </w:r>
            <w:r w:rsidR="00C31A09">
              <w:rPr>
                <w:noProof/>
                <w:webHidden/>
              </w:rPr>
            </w:r>
            <w:r w:rsidR="00C31A09">
              <w:rPr>
                <w:noProof/>
                <w:webHidden/>
              </w:rPr>
              <w:fldChar w:fldCharType="separate"/>
            </w:r>
            <w:r>
              <w:rPr>
                <w:noProof/>
                <w:webHidden/>
              </w:rPr>
              <w:t>3</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86" w:history="1">
            <w:r w:rsidR="00C31A09" w:rsidRPr="00AB4B2D">
              <w:rPr>
                <w:rStyle w:val="Lienhypertexte"/>
                <w:noProof/>
                <w:lang w:eastAsia="ar-SA"/>
              </w:rPr>
              <w:t>2.1 Désignation des cocontractants</w:t>
            </w:r>
            <w:r w:rsidR="00C31A09">
              <w:rPr>
                <w:noProof/>
                <w:webHidden/>
              </w:rPr>
              <w:tab/>
            </w:r>
            <w:r w:rsidR="00C31A09">
              <w:rPr>
                <w:noProof/>
                <w:webHidden/>
              </w:rPr>
              <w:fldChar w:fldCharType="begin"/>
            </w:r>
            <w:r w:rsidR="00C31A09">
              <w:rPr>
                <w:noProof/>
                <w:webHidden/>
              </w:rPr>
              <w:instrText xml:space="preserve"> PAGEREF _Toc184896386 \h </w:instrText>
            </w:r>
            <w:r w:rsidR="00C31A09">
              <w:rPr>
                <w:noProof/>
                <w:webHidden/>
              </w:rPr>
            </w:r>
            <w:r w:rsidR="00C31A09">
              <w:rPr>
                <w:noProof/>
                <w:webHidden/>
              </w:rPr>
              <w:fldChar w:fldCharType="separate"/>
            </w:r>
            <w:r>
              <w:rPr>
                <w:noProof/>
                <w:webHidden/>
              </w:rPr>
              <w:t>3</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87" w:history="1">
            <w:r w:rsidR="00C31A09" w:rsidRPr="00AB4B2D">
              <w:rPr>
                <w:rStyle w:val="Lienhypertexte"/>
                <w:rFonts w:eastAsia="Times New Roman"/>
                <w:noProof/>
                <w:lang w:eastAsia="ar-SA"/>
              </w:rPr>
              <w:t>2.2 Pièces constitutives du marché public</w:t>
            </w:r>
            <w:r w:rsidR="00C31A09">
              <w:rPr>
                <w:noProof/>
                <w:webHidden/>
              </w:rPr>
              <w:tab/>
            </w:r>
            <w:r w:rsidR="00C31A09">
              <w:rPr>
                <w:noProof/>
                <w:webHidden/>
              </w:rPr>
              <w:fldChar w:fldCharType="begin"/>
            </w:r>
            <w:r w:rsidR="00C31A09">
              <w:rPr>
                <w:noProof/>
                <w:webHidden/>
              </w:rPr>
              <w:instrText xml:space="preserve"> PAGEREF _Toc184896387 \h </w:instrText>
            </w:r>
            <w:r w:rsidR="00C31A09">
              <w:rPr>
                <w:noProof/>
                <w:webHidden/>
              </w:rPr>
            </w:r>
            <w:r w:rsidR="00C31A09">
              <w:rPr>
                <w:noProof/>
                <w:webHidden/>
              </w:rPr>
              <w:fldChar w:fldCharType="separate"/>
            </w:r>
            <w:r>
              <w:rPr>
                <w:noProof/>
                <w:webHidden/>
              </w:rPr>
              <w:t>4</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88" w:history="1">
            <w:r w:rsidR="00C31A09" w:rsidRPr="00AB4B2D">
              <w:rPr>
                <w:rStyle w:val="Lienhypertexte"/>
                <w:rFonts w:eastAsia="Times New Roman"/>
                <w:noProof/>
                <w:lang w:eastAsia="ar-SA"/>
              </w:rPr>
              <w:t>ARTICLE 3 : PROCEDURE DE PASSATION</w:t>
            </w:r>
            <w:r w:rsidR="00C31A09">
              <w:rPr>
                <w:noProof/>
                <w:webHidden/>
              </w:rPr>
              <w:tab/>
            </w:r>
            <w:r w:rsidR="00C31A09">
              <w:rPr>
                <w:noProof/>
                <w:webHidden/>
              </w:rPr>
              <w:fldChar w:fldCharType="begin"/>
            </w:r>
            <w:r w:rsidR="00C31A09">
              <w:rPr>
                <w:noProof/>
                <w:webHidden/>
              </w:rPr>
              <w:instrText xml:space="preserve"> PAGEREF _Toc184896388 \h </w:instrText>
            </w:r>
            <w:r w:rsidR="00C31A09">
              <w:rPr>
                <w:noProof/>
                <w:webHidden/>
              </w:rPr>
            </w:r>
            <w:r w:rsidR="00C31A09">
              <w:rPr>
                <w:noProof/>
                <w:webHidden/>
              </w:rPr>
              <w:fldChar w:fldCharType="separate"/>
            </w:r>
            <w:r>
              <w:rPr>
                <w:noProof/>
                <w:webHidden/>
              </w:rPr>
              <w:t>4</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89" w:history="1">
            <w:r w:rsidR="00C31A09" w:rsidRPr="00AB4B2D">
              <w:rPr>
                <w:rStyle w:val="Lienhypertexte"/>
                <w:rFonts w:eastAsia="Times New Roman"/>
                <w:noProof/>
                <w:lang w:eastAsia="ar-SA"/>
              </w:rPr>
              <w:t>ARTICLE 4 : OBJET ET CONSISTANCE DE L’ACCORD-CADRE</w:t>
            </w:r>
            <w:r w:rsidR="00C31A09">
              <w:rPr>
                <w:noProof/>
                <w:webHidden/>
              </w:rPr>
              <w:tab/>
            </w:r>
            <w:r w:rsidR="00C31A09">
              <w:rPr>
                <w:noProof/>
                <w:webHidden/>
              </w:rPr>
              <w:fldChar w:fldCharType="begin"/>
            </w:r>
            <w:r w:rsidR="00C31A09">
              <w:rPr>
                <w:noProof/>
                <w:webHidden/>
              </w:rPr>
              <w:instrText xml:space="preserve"> PAGEREF _Toc184896389 \h </w:instrText>
            </w:r>
            <w:r w:rsidR="00C31A09">
              <w:rPr>
                <w:noProof/>
                <w:webHidden/>
              </w:rPr>
            </w:r>
            <w:r w:rsidR="00C31A09">
              <w:rPr>
                <w:noProof/>
                <w:webHidden/>
              </w:rPr>
              <w:fldChar w:fldCharType="separate"/>
            </w:r>
            <w:r>
              <w:rPr>
                <w:noProof/>
                <w:webHidden/>
              </w:rPr>
              <w:t>4</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90" w:history="1">
            <w:r w:rsidR="00C31A09" w:rsidRPr="00AB4B2D">
              <w:rPr>
                <w:rStyle w:val="Lienhypertexte"/>
                <w:noProof/>
              </w:rPr>
              <w:t>ARTICLE 5 : DUREE DE L’ACCORD-CADRE ET FORME DE LA NOTIFICATION</w:t>
            </w:r>
            <w:r w:rsidR="00C31A09">
              <w:rPr>
                <w:noProof/>
                <w:webHidden/>
              </w:rPr>
              <w:tab/>
            </w:r>
            <w:r w:rsidR="00C31A09">
              <w:rPr>
                <w:noProof/>
                <w:webHidden/>
              </w:rPr>
              <w:fldChar w:fldCharType="begin"/>
            </w:r>
            <w:r w:rsidR="00C31A09">
              <w:rPr>
                <w:noProof/>
                <w:webHidden/>
              </w:rPr>
              <w:instrText xml:space="preserve"> PAGEREF _Toc184896390 \h </w:instrText>
            </w:r>
            <w:r w:rsidR="00C31A09">
              <w:rPr>
                <w:noProof/>
                <w:webHidden/>
              </w:rPr>
            </w:r>
            <w:r w:rsidR="00C31A09">
              <w:rPr>
                <w:noProof/>
                <w:webHidden/>
              </w:rPr>
              <w:fldChar w:fldCharType="separate"/>
            </w:r>
            <w:r>
              <w:rPr>
                <w:noProof/>
                <w:webHidden/>
              </w:rPr>
              <w:t>5</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91" w:history="1">
            <w:r w:rsidR="00C31A09" w:rsidRPr="00AB4B2D">
              <w:rPr>
                <w:rStyle w:val="Lienhypertexte"/>
                <w:noProof/>
              </w:rPr>
              <w:t>5.1 Durée de l’accord-cadre</w:t>
            </w:r>
            <w:r w:rsidR="00C31A09">
              <w:rPr>
                <w:noProof/>
                <w:webHidden/>
              </w:rPr>
              <w:tab/>
            </w:r>
            <w:r w:rsidR="00C31A09">
              <w:rPr>
                <w:noProof/>
                <w:webHidden/>
              </w:rPr>
              <w:fldChar w:fldCharType="begin"/>
            </w:r>
            <w:r w:rsidR="00C31A09">
              <w:rPr>
                <w:noProof/>
                <w:webHidden/>
              </w:rPr>
              <w:instrText xml:space="preserve"> PAGEREF _Toc184896391 \h </w:instrText>
            </w:r>
            <w:r w:rsidR="00C31A09">
              <w:rPr>
                <w:noProof/>
                <w:webHidden/>
              </w:rPr>
            </w:r>
            <w:r w:rsidR="00C31A09">
              <w:rPr>
                <w:noProof/>
                <w:webHidden/>
              </w:rPr>
              <w:fldChar w:fldCharType="separate"/>
            </w:r>
            <w:r>
              <w:rPr>
                <w:noProof/>
                <w:webHidden/>
              </w:rPr>
              <w:t>5</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92" w:history="1">
            <w:r w:rsidR="00C31A09" w:rsidRPr="00AB4B2D">
              <w:rPr>
                <w:rStyle w:val="Lienhypertexte"/>
                <w:rFonts w:eastAsia="Calibri"/>
                <w:noProof/>
              </w:rPr>
              <w:t>5.2 Forme de la notification</w:t>
            </w:r>
            <w:r w:rsidR="00C31A09">
              <w:rPr>
                <w:noProof/>
                <w:webHidden/>
              </w:rPr>
              <w:tab/>
            </w:r>
            <w:r w:rsidR="00C31A09">
              <w:rPr>
                <w:noProof/>
                <w:webHidden/>
              </w:rPr>
              <w:fldChar w:fldCharType="begin"/>
            </w:r>
            <w:r w:rsidR="00C31A09">
              <w:rPr>
                <w:noProof/>
                <w:webHidden/>
              </w:rPr>
              <w:instrText xml:space="preserve"> PAGEREF _Toc184896392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93" w:history="1">
            <w:r w:rsidR="00C31A09" w:rsidRPr="00AB4B2D">
              <w:rPr>
                <w:rStyle w:val="Lienhypertexte"/>
                <w:rFonts w:eastAsia="Times New Roman"/>
                <w:noProof/>
                <w:lang w:eastAsia="ar-SA"/>
              </w:rPr>
              <w:t>ARTICLE 6 : MONTANTS DE L’ACCORD-CADRE</w:t>
            </w:r>
            <w:r w:rsidR="00C31A09">
              <w:rPr>
                <w:noProof/>
                <w:webHidden/>
              </w:rPr>
              <w:tab/>
            </w:r>
            <w:r w:rsidR="00C31A09">
              <w:rPr>
                <w:noProof/>
                <w:webHidden/>
              </w:rPr>
              <w:fldChar w:fldCharType="begin"/>
            </w:r>
            <w:r w:rsidR="00C31A09">
              <w:rPr>
                <w:noProof/>
                <w:webHidden/>
              </w:rPr>
              <w:instrText xml:space="preserve"> PAGEREF _Toc184896393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94" w:history="1">
            <w:r w:rsidR="00C31A09" w:rsidRPr="00AB4B2D">
              <w:rPr>
                <w:rStyle w:val="Lienhypertexte"/>
                <w:noProof/>
                <w:lang w:eastAsia="ar-SA"/>
              </w:rPr>
              <w:t>6.1 Part forfaitaire de la maintenance annuelle</w:t>
            </w:r>
            <w:r w:rsidR="00C31A09">
              <w:rPr>
                <w:noProof/>
                <w:webHidden/>
              </w:rPr>
              <w:tab/>
            </w:r>
            <w:r w:rsidR="00C31A09">
              <w:rPr>
                <w:noProof/>
                <w:webHidden/>
              </w:rPr>
              <w:fldChar w:fldCharType="begin"/>
            </w:r>
            <w:r w:rsidR="00C31A09">
              <w:rPr>
                <w:noProof/>
                <w:webHidden/>
              </w:rPr>
              <w:instrText xml:space="preserve"> PAGEREF _Toc184896394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95" w:history="1">
            <w:r w:rsidR="00C31A09" w:rsidRPr="00AB4B2D">
              <w:rPr>
                <w:rStyle w:val="Lienhypertexte"/>
                <w:noProof/>
                <w:lang w:eastAsia="ar-SA"/>
              </w:rPr>
              <w:t>6.2 Minimum et maximum de la partie à bons de commande</w:t>
            </w:r>
            <w:r w:rsidR="00C31A09">
              <w:rPr>
                <w:noProof/>
                <w:webHidden/>
              </w:rPr>
              <w:tab/>
            </w:r>
            <w:r w:rsidR="00C31A09">
              <w:rPr>
                <w:noProof/>
                <w:webHidden/>
              </w:rPr>
              <w:fldChar w:fldCharType="begin"/>
            </w:r>
            <w:r w:rsidR="00C31A09">
              <w:rPr>
                <w:noProof/>
                <w:webHidden/>
              </w:rPr>
              <w:instrText xml:space="preserve"> PAGEREF _Toc184896395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96" w:history="1">
            <w:r w:rsidR="00C31A09" w:rsidRPr="00AB4B2D">
              <w:rPr>
                <w:rStyle w:val="Lienhypertexte"/>
                <w:noProof/>
              </w:rPr>
              <w:t>6.3 Informations relatives aux commandes hors Bordereau des Prix Unitaires et aux offres promotionnelles</w:t>
            </w:r>
            <w:r w:rsidR="00C31A09">
              <w:rPr>
                <w:noProof/>
                <w:webHidden/>
              </w:rPr>
              <w:tab/>
            </w:r>
            <w:r w:rsidR="00C31A09">
              <w:rPr>
                <w:noProof/>
                <w:webHidden/>
              </w:rPr>
              <w:fldChar w:fldCharType="begin"/>
            </w:r>
            <w:r w:rsidR="00C31A09">
              <w:rPr>
                <w:noProof/>
                <w:webHidden/>
              </w:rPr>
              <w:instrText xml:space="preserve"> PAGEREF _Toc184896396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97" w:history="1">
            <w:r w:rsidR="00C31A09" w:rsidRPr="00AB4B2D">
              <w:rPr>
                <w:rStyle w:val="Lienhypertexte"/>
                <w:rFonts w:eastAsia="Times New Roman"/>
                <w:noProof/>
                <w:lang w:eastAsia="ar-SA"/>
              </w:rPr>
              <w:t>ARTICLE 7 : MODALITES ET DELAIS D’EXECUTION DE L’ACCORD-CADRE</w:t>
            </w:r>
            <w:r w:rsidR="00C31A09">
              <w:rPr>
                <w:noProof/>
                <w:webHidden/>
              </w:rPr>
              <w:tab/>
            </w:r>
            <w:r w:rsidR="00C31A09">
              <w:rPr>
                <w:noProof/>
                <w:webHidden/>
              </w:rPr>
              <w:fldChar w:fldCharType="begin"/>
            </w:r>
            <w:r w:rsidR="00C31A09">
              <w:rPr>
                <w:noProof/>
                <w:webHidden/>
              </w:rPr>
              <w:instrText xml:space="preserve"> PAGEREF _Toc184896397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398" w:history="1">
            <w:r w:rsidR="00C31A09" w:rsidRPr="00AB4B2D">
              <w:rPr>
                <w:rStyle w:val="Lienhypertexte"/>
                <w:rFonts w:eastAsia="Times New Roman"/>
                <w:noProof/>
                <w:lang w:eastAsia="fr-FR"/>
              </w:rPr>
              <w:t>ARTICLE 8 – DISPOSITIONS FINANCIERES</w:t>
            </w:r>
            <w:r w:rsidR="00C31A09">
              <w:rPr>
                <w:noProof/>
                <w:webHidden/>
              </w:rPr>
              <w:tab/>
            </w:r>
            <w:r w:rsidR="00C31A09">
              <w:rPr>
                <w:noProof/>
                <w:webHidden/>
              </w:rPr>
              <w:fldChar w:fldCharType="begin"/>
            </w:r>
            <w:r w:rsidR="00C31A09">
              <w:rPr>
                <w:noProof/>
                <w:webHidden/>
              </w:rPr>
              <w:instrText xml:space="preserve"> PAGEREF _Toc184896398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399" w:history="1">
            <w:r w:rsidR="00C31A09" w:rsidRPr="00AB4B2D">
              <w:rPr>
                <w:rStyle w:val="Lienhypertexte"/>
                <w:rFonts w:eastAsia="Calibri"/>
                <w:noProof/>
              </w:rPr>
              <w:t>8.1 – Caractère des prix</w:t>
            </w:r>
            <w:r w:rsidR="00C31A09">
              <w:rPr>
                <w:noProof/>
                <w:webHidden/>
              </w:rPr>
              <w:tab/>
            </w:r>
            <w:r w:rsidR="00C31A09">
              <w:rPr>
                <w:noProof/>
                <w:webHidden/>
              </w:rPr>
              <w:fldChar w:fldCharType="begin"/>
            </w:r>
            <w:r w:rsidR="00C31A09">
              <w:rPr>
                <w:noProof/>
                <w:webHidden/>
              </w:rPr>
              <w:instrText xml:space="preserve"> PAGEREF _Toc184896399 \h </w:instrText>
            </w:r>
            <w:r w:rsidR="00C31A09">
              <w:rPr>
                <w:noProof/>
                <w:webHidden/>
              </w:rPr>
            </w:r>
            <w:r w:rsidR="00C31A09">
              <w:rPr>
                <w:noProof/>
                <w:webHidden/>
              </w:rPr>
              <w:fldChar w:fldCharType="separate"/>
            </w:r>
            <w:r>
              <w:rPr>
                <w:noProof/>
                <w:webHidden/>
              </w:rPr>
              <w:t>6</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400" w:history="1">
            <w:r w:rsidR="00C31A09" w:rsidRPr="00AB4B2D">
              <w:rPr>
                <w:rStyle w:val="Lienhypertexte"/>
                <w:rFonts w:eastAsia="Calibri"/>
                <w:noProof/>
              </w:rPr>
              <w:t>8.2 – Contenu des prix</w:t>
            </w:r>
            <w:r w:rsidR="00C31A09">
              <w:rPr>
                <w:noProof/>
                <w:webHidden/>
              </w:rPr>
              <w:tab/>
            </w:r>
            <w:r w:rsidR="00C31A09">
              <w:rPr>
                <w:noProof/>
                <w:webHidden/>
              </w:rPr>
              <w:fldChar w:fldCharType="begin"/>
            </w:r>
            <w:r w:rsidR="00C31A09">
              <w:rPr>
                <w:noProof/>
                <w:webHidden/>
              </w:rPr>
              <w:instrText xml:space="preserve"> PAGEREF _Toc184896400 \h </w:instrText>
            </w:r>
            <w:r w:rsidR="00C31A09">
              <w:rPr>
                <w:noProof/>
                <w:webHidden/>
              </w:rPr>
            </w:r>
            <w:r w:rsidR="00C31A09">
              <w:rPr>
                <w:noProof/>
                <w:webHidden/>
              </w:rPr>
              <w:fldChar w:fldCharType="separate"/>
            </w:r>
            <w:r>
              <w:rPr>
                <w:noProof/>
                <w:webHidden/>
              </w:rPr>
              <w:t>7</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401" w:history="1">
            <w:r w:rsidR="00C31A09" w:rsidRPr="00AB4B2D">
              <w:rPr>
                <w:rStyle w:val="Lienhypertexte"/>
                <w:rFonts w:eastAsia="Calibri"/>
                <w:noProof/>
              </w:rPr>
              <w:t>8.3 – Variation des prix</w:t>
            </w:r>
            <w:r w:rsidR="00C31A09">
              <w:rPr>
                <w:noProof/>
                <w:webHidden/>
              </w:rPr>
              <w:tab/>
            </w:r>
            <w:r w:rsidR="00C31A09">
              <w:rPr>
                <w:noProof/>
                <w:webHidden/>
              </w:rPr>
              <w:fldChar w:fldCharType="begin"/>
            </w:r>
            <w:r w:rsidR="00C31A09">
              <w:rPr>
                <w:noProof/>
                <w:webHidden/>
              </w:rPr>
              <w:instrText xml:space="preserve"> PAGEREF _Toc184896401 \h </w:instrText>
            </w:r>
            <w:r w:rsidR="00C31A09">
              <w:rPr>
                <w:noProof/>
                <w:webHidden/>
              </w:rPr>
            </w:r>
            <w:r w:rsidR="00C31A09">
              <w:rPr>
                <w:noProof/>
                <w:webHidden/>
              </w:rPr>
              <w:fldChar w:fldCharType="separate"/>
            </w:r>
            <w:r>
              <w:rPr>
                <w:noProof/>
                <w:webHidden/>
              </w:rPr>
              <w:t>7</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02" w:history="1">
            <w:r w:rsidR="00C31A09" w:rsidRPr="00AB4B2D">
              <w:rPr>
                <w:rStyle w:val="Lienhypertexte"/>
                <w:rFonts w:eastAsia="Times New Roman"/>
                <w:noProof/>
                <w:lang w:eastAsia="fr-FR"/>
              </w:rPr>
              <w:t>ARTICLE 9 – MODALITES DE REGLEMENT ET DE TRANSMISSION DES FACTURES</w:t>
            </w:r>
            <w:r w:rsidR="00C31A09">
              <w:rPr>
                <w:noProof/>
                <w:webHidden/>
              </w:rPr>
              <w:tab/>
            </w:r>
            <w:r w:rsidR="00C31A09">
              <w:rPr>
                <w:noProof/>
                <w:webHidden/>
              </w:rPr>
              <w:fldChar w:fldCharType="begin"/>
            </w:r>
            <w:r w:rsidR="00C31A09">
              <w:rPr>
                <w:noProof/>
                <w:webHidden/>
              </w:rPr>
              <w:instrText xml:space="preserve"> PAGEREF _Toc184896402 \h </w:instrText>
            </w:r>
            <w:r w:rsidR="00C31A09">
              <w:rPr>
                <w:noProof/>
                <w:webHidden/>
              </w:rPr>
            </w:r>
            <w:r w:rsidR="00C31A09">
              <w:rPr>
                <w:noProof/>
                <w:webHidden/>
              </w:rPr>
              <w:fldChar w:fldCharType="separate"/>
            </w:r>
            <w:r>
              <w:rPr>
                <w:noProof/>
                <w:webHidden/>
              </w:rPr>
              <w:t>7</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403" w:history="1">
            <w:r w:rsidR="00C31A09" w:rsidRPr="00AB4B2D">
              <w:rPr>
                <w:rStyle w:val="Lienhypertexte"/>
                <w:rFonts w:eastAsia="Arial"/>
                <w:noProof/>
              </w:rPr>
              <w:t>9.1 Modalités de règlement des factures</w:t>
            </w:r>
            <w:r w:rsidR="00C31A09">
              <w:rPr>
                <w:noProof/>
                <w:webHidden/>
              </w:rPr>
              <w:tab/>
            </w:r>
            <w:r w:rsidR="00C31A09">
              <w:rPr>
                <w:noProof/>
                <w:webHidden/>
              </w:rPr>
              <w:fldChar w:fldCharType="begin"/>
            </w:r>
            <w:r w:rsidR="00C31A09">
              <w:rPr>
                <w:noProof/>
                <w:webHidden/>
              </w:rPr>
              <w:instrText xml:space="preserve"> PAGEREF _Toc184896403 \h </w:instrText>
            </w:r>
            <w:r w:rsidR="00C31A09">
              <w:rPr>
                <w:noProof/>
                <w:webHidden/>
              </w:rPr>
            </w:r>
            <w:r w:rsidR="00C31A09">
              <w:rPr>
                <w:noProof/>
                <w:webHidden/>
              </w:rPr>
              <w:fldChar w:fldCharType="separate"/>
            </w:r>
            <w:r>
              <w:rPr>
                <w:noProof/>
                <w:webHidden/>
              </w:rPr>
              <w:t>7</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404" w:history="1">
            <w:r w:rsidR="00C31A09" w:rsidRPr="00AB4B2D">
              <w:rPr>
                <w:rStyle w:val="Lienhypertexte"/>
                <w:rFonts w:eastAsia="Arial" w:cs="Arial"/>
                <w:noProof/>
              </w:rPr>
              <w:t>9.2 Transmission des factures</w:t>
            </w:r>
            <w:r w:rsidR="00C31A09">
              <w:rPr>
                <w:noProof/>
                <w:webHidden/>
              </w:rPr>
              <w:tab/>
            </w:r>
            <w:r w:rsidR="00C31A09">
              <w:rPr>
                <w:noProof/>
                <w:webHidden/>
              </w:rPr>
              <w:fldChar w:fldCharType="begin"/>
            </w:r>
            <w:r w:rsidR="00C31A09">
              <w:rPr>
                <w:noProof/>
                <w:webHidden/>
              </w:rPr>
              <w:instrText xml:space="preserve"> PAGEREF _Toc184896404 \h </w:instrText>
            </w:r>
            <w:r w:rsidR="00C31A09">
              <w:rPr>
                <w:noProof/>
                <w:webHidden/>
              </w:rPr>
            </w:r>
            <w:r w:rsidR="00C31A09">
              <w:rPr>
                <w:noProof/>
                <w:webHidden/>
              </w:rPr>
              <w:fldChar w:fldCharType="separate"/>
            </w:r>
            <w:r>
              <w:rPr>
                <w:noProof/>
                <w:webHidden/>
              </w:rPr>
              <w:t>7</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05" w:history="1">
            <w:r w:rsidR="00C31A09" w:rsidRPr="00AB4B2D">
              <w:rPr>
                <w:rStyle w:val="Lienhypertexte"/>
                <w:rFonts w:eastAsia="Times New Roman"/>
                <w:noProof/>
                <w:lang w:eastAsia="fr-FR"/>
              </w:rPr>
              <w:t>ARTICLE 10 – PAIEMENT</w:t>
            </w:r>
            <w:r w:rsidR="00C31A09">
              <w:rPr>
                <w:noProof/>
                <w:webHidden/>
              </w:rPr>
              <w:tab/>
            </w:r>
            <w:r w:rsidR="00C31A09">
              <w:rPr>
                <w:noProof/>
                <w:webHidden/>
              </w:rPr>
              <w:fldChar w:fldCharType="begin"/>
            </w:r>
            <w:r w:rsidR="00C31A09">
              <w:rPr>
                <w:noProof/>
                <w:webHidden/>
              </w:rPr>
              <w:instrText xml:space="preserve"> PAGEREF _Toc184896405 \h </w:instrText>
            </w:r>
            <w:r w:rsidR="00C31A09">
              <w:rPr>
                <w:noProof/>
                <w:webHidden/>
              </w:rPr>
            </w:r>
            <w:r w:rsidR="00C31A09">
              <w:rPr>
                <w:noProof/>
                <w:webHidden/>
              </w:rPr>
              <w:fldChar w:fldCharType="separate"/>
            </w:r>
            <w:r>
              <w:rPr>
                <w:noProof/>
                <w:webHidden/>
              </w:rPr>
              <w:t>9</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06" w:history="1">
            <w:r w:rsidR="00C31A09" w:rsidRPr="00AB4B2D">
              <w:rPr>
                <w:rStyle w:val="Lienhypertexte"/>
                <w:rFonts w:eastAsia="Times New Roman"/>
                <w:noProof/>
                <w:lang w:eastAsia="fr-FR"/>
              </w:rPr>
              <w:t>ARTICLE 11 – PENALITES</w:t>
            </w:r>
            <w:r w:rsidR="00C31A09">
              <w:rPr>
                <w:noProof/>
                <w:webHidden/>
              </w:rPr>
              <w:tab/>
            </w:r>
            <w:r w:rsidR="00C31A09">
              <w:rPr>
                <w:noProof/>
                <w:webHidden/>
              </w:rPr>
              <w:fldChar w:fldCharType="begin"/>
            </w:r>
            <w:r w:rsidR="00C31A09">
              <w:rPr>
                <w:noProof/>
                <w:webHidden/>
              </w:rPr>
              <w:instrText xml:space="preserve"> PAGEREF _Toc184896406 \h </w:instrText>
            </w:r>
            <w:r w:rsidR="00C31A09">
              <w:rPr>
                <w:noProof/>
                <w:webHidden/>
              </w:rPr>
            </w:r>
            <w:r w:rsidR="00C31A09">
              <w:rPr>
                <w:noProof/>
                <w:webHidden/>
              </w:rPr>
              <w:fldChar w:fldCharType="separate"/>
            </w:r>
            <w:r>
              <w:rPr>
                <w:noProof/>
                <w:webHidden/>
              </w:rPr>
              <w:t>9</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07" w:history="1">
            <w:r w:rsidR="00C31A09" w:rsidRPr="00AB4B2D">
              <w:rPr>
                <w:rStyle w:val="Lienhypertexte"/>
                <w:rFonts w:eastAsia="Times New Roman"/>
                <w:noProof/>
                <w:lang w:eastAsia="fr-FR"/>
              </w:rPr>
              <w:t>ARTICLE 12 – ASSURANCES</w:t>
            </w:r>
            <w:r w:rsidR="00C31A09">
              <w:rPr>
                <w:noProof/>
                <w:webHidden/>
              </w:rPr>
              <w:tab/>
            </w:r>
            <w:r w:rsidR="00C31A09">
              <w:rPr>
                <w:noProof/>
                <w:webHidden/>
              </w:rPr>
              <w:fldChar w:fldCharType="begin"/>
            </w:r>
            <w:r w:rsidR="00C31A09">
              <w:rPr>
                <w:noProof/>
                <w:webHidden/>
              </w:rPr>
              <w:instrText xml:space="preserve"> PAGEREF _Toc184896407 \h </w:instrText>
            </w:r>
            <w:r w:rsidR="00C31A09">
              <w:rPr>
                <w:noProof/>
                <w:webHidden/>
              </w:rPr>
            </w:r>
            <w:r w:rsidR="00C31A09">
              <w:rPr>
                <w:noProof/>
                <w:webHidden/>
              </w:rPr>
              <w:fldChar w:fldCharType="separate"/>
            </w:r>
            <w:r>
              <w:rPr>
                <w:noProof/>
                <w:webHidden/>
              </w:rPr>
              <w:t>10</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08" w:history="1">
            <w:r w:rsidR="00C31A09" w:rsidRPr="00AB4B2D">
              <w:rPr>
                <w:rStyle w:val="Lienhypertexte"/>
                <w:rFonts w:eastAsia="Times New Roman"/>
                <w:noProof/>
                <w:lang w:eastAsia="fr-FR"/>
              </w:rPr>
              <w:t>ARTICLE 13 – CONFIDENTIALITE – PROTECTION DES DONNEES PERSONNELLES – MESURES DE SECURITE</w:t>
            </w:r>
            <w:r w:rsidR="00C31A09">
              <w:rPr>
                <w:noProof/>
                <w:webHidden/>
              </w:rPr>
              <w:tab/>
            </w:r>
            <w:r w:rsidR="00C31A09">
              <w:rPr>
                <w:noProof/>
                <w:webHidden/>
              </w:rPr>
              <w:fldChar w:fldCharType="begin"/>
            </w:r>
            <w:r w:rsidR="00C31A09">
              <w:rPr>
                <w:noProof/>
                <w:webHidden/>
              </w:rPr>
              <w:instrText xml:space="preserve"> PAGEREF _Toc184896408 \h </w:instrText>
            </w:r>
            <w:r w:rsidR="00C31A09">
              <w:rPr>
                <w:noProof/>
                <w:webHidden/>
              </w:rPr>
            </w:r>
            <w:r w:rsidR="00C31A09">
              <w:rPr>
                <w:noProof/>
                <w:webHidden/>
              </w:rPr>
              <w:fldChar w:fldCharType="separate"/>
            </w:r>
            <w:r>
              <w:rPr>
                <w:noProof/>
                <w:webHidden/>
              </w:rPr>
              <w:t>10</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09" w:history="1">
            <w:r w:rsidR="00C31A09" w:rsidRPr="00AB4B2D">
              <w:rPr>
                <w:rStyle w:val="Lienhypertexte"/>
                <w:rFonts w:eastAsia="Times New Roman"/>
                <w:noProof/>
                <w:lang w:eastAsia="fr-FR"/>
              </w:rPr>
              <w:t>ARTICLE 14 – RESILIATION DU MARCHE</w:t>
            </w:r>
            <w:r w:rsidR="00C31A09">
              <w:rPr>
                <w:noProof/>
                <w:webHidden/>
              </w:rPr>
              <w:tab/>
            </w:r>
            <w:r w:rsidR="00C31A09">
              <w:rPr>
                <w:noProof/>
                <w:webHidden/>
              </w:rPr>
              <w:fldChar w:fldCharType="begin"/>
            </w:r>
            <w:r w:rsidR="00C31A09">
              <w:rPr>
                <w:noProof/>
                <w:webHidden/>
              </w:rPr>
              <w:instrText xml:space="preserve"> PAGEREF _Toc184896409 \h </w:instrText>
            </w:r>
            <w:r w:rsidR="00C31A09">
              <w:rPr>
                <w:noProof/>
                <w:webHidden/>
              </w:rPr>
            </w:r>
            <w:r w:rsidR="00C31A09">
              <w:rPr>
                <w:noProof/>
                <w:webHidden/>
              </w:rPr>
              <w:fldChar w:fldCharType="separate"/>
            </w:r>
            <w:r>
              <w:rPr>
                <w:noProof/>
                <w:webHidden/>
              </w:rPr>
              <w:t>12</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10" w:history="1">
            <w:r w:rsidR="00C31A09" w:rsidRPr="00AB4B2D">
              <w:rPr>
                <w:rStyle w:val="Lienhypertexte"/>
                <w:rFonts w:eastAsia="Times New Roman"/>
                <w:noProof/>
                <w:lang w:eastAsia="fr-FR"/>
              </w:rPr>
              <w:t>ARTICLE 15 – TRIBUNAL COMPETENT</w:t>
            </w:r>
            <w:r w:rsidR="00C31A09">
              <w:rPr>
                <w:noProof/>
                <w:webHidden/>
              </w:rPr>
              <w:tab/>
            </w:r>
            <w:r w:rsidR="00C31A09">
              <w:rPr>
                <w:noProof/>
                <w:webHidden/>
              </w:rPr>
              <w:fldChar w:fldCharType="begin"/>
            </w:r>
            <w:r w:rsidR="00C31A09">
              <w:rPr>
                <w:noProof/>
                <w:webHidden/>
              </w:rPr>
              <w:instrText xml:space="preserve"> PAGEREF _Toc184896410 \h </w:instrText>
            </w:r>
            <w:r w:rsidR="00C31A09">
              <w:rPr>
                <w:noProof/>
                <w:webHidden/>
              </w:rPr>
            </w:r>
            <w:r w:rsidR="00C31A09">
              <w:rPr>
                <w:noProof/>
                <w:webHidden/>
              </w:rPr>
              <w:fldChar w:fldCharType="separate"/>
            </w:r>
            <w:r>
              <w:rPr>
                <w:noProof/>
                <w:webHidden/>
              </w:rPr>
              <w:t>12</w:t>
            </w:r>
            <w:r w:rsidR="00C31A09">
              <w:rPr>
                <w:noProof/>
                <w:webHidden/>
              </w:rPr>
              <w:fldChar w:fldCharType="end"/>
            </w:r>
          </w:hyperlink>
        </w:p>
        <w:p w:rsidR="00C31A09" w:rsidRPr="00C31A09" w:rsidRDefault="008E10C2">
          <w:pPr>
            <w:pStyle w:val="TM2"/>
            <w:tabs>
              <w:tab w:val="right" w:leader="dot" w:pos="9062"/>
            </w:tabs>
            <w:rPr>
              <w:rFonts w:asciiTheme="minorHAnsi" w:eastAsiaTheme="minorEastAsia" w:hAnsiTheme="minorHAnsi"/>
              <w:noProof/>
              <w:lang w:eastAsia="fr-FR"/>
            </w:rPr>
          </w:pPr>
          <w:hyperlink w:anchor="_Toc184896411" w:history="1">
            <w:r w:rsidR="00C31A09" w:rsidRPr="00C31A09">
              <w:rPr>
                <w:rStyle w:val="Lienhypertexte"/>
                <w:rFonts w:cs="Arial"/>
                <w:noProof/>
              </w:rPr>
              <w:t>15.1 Recours à l’amiable</w:t>
            </w:r>
            <w:r w:rsidR="00C31A09" w:rsidRPr="00C31A09">
              <w:rPr>
                <w:noProof/>
                <w:webHidden/>
              </w:rPr>
              <w:tab/>
            </w:r>
            <w:r w:rsidR="00C31A09" w:rsidRPr="00C31A09">
              <w:rPr>
                <w:noProof/>
                <w:webHidden/>
              </w:rPr>
              <w:fldChar w:fldCharType="begin"/>
            </w:r>
            <w:r w:rsidR="00C31A09" w:rsidRPr="00C31A09">
              <w:rPr>
                <w:noProof/>
                <w:webHidden/>
              </w:rPr>
              <w:instrText xml:space="preserve"> PAGEREF _Toc184896411 \h </w:instrText>
            </w:r>
            <w:r w:rsidR="00C31A09" w:rsidRPr="00C31A09">
              <w:rPr>
                <w:noProof/>
                <w:webHidden/>
              </w:rPr>
            </w:r>
            <w:r w:rsidR="00C31A09" w:rsidRPr="00C31A09">
              <w:rPr>
                <w:noProof/>
                <w:webHidden/>
              </w:rPr>
              <w:fldChar w:fldCharType="separate"/>
            </w:r>
            <w:r>
              <w:rPr>
                <w:noProof/>
                <w:webHidden/>
              </w:rPr>
              <w:t>12</w:t>
            </w:r>
            <w:r w:rsidR="00C31A09" w:rsidRPr="00C31A09">
              <w:rPr>
                <w:noProof/>
                <w:webHidden/>
              </w:rPr>
              <w:fldChar w:fldCharType="end"/>
            </w:r>
          </w:hyperlink>
        </w:p>
        <w:p w:rsidR="00C31A09" w:rsidRPr="00C31A09" w:rsidRDefault="008E10C2">
          <w:pPr>
            <w:pStyle w:val="TM2"/>
            <w:tabs>
              <w:tab w:val="right" w:leader="dot" w:pos="9062"/>
            </w:tabs>
            <w:rPr>
              <w:rFonts w:asciiTheme="minorHAnsi" w:eastAsiaTheme="minorEastAsia" w:hAnsiTheme="minorHAnsi"/>
              <w:noProof/>
              <w:lang w:eastAsia="fr-FR"/>
            </w:rPr>
          </w:pPr>
          <w:hyperlink w:anchor="_Toc184896412" w:history="1">
            <w:r w:rsidR="00C31A09" w:rsidRPr="00C31A09">
              <w:rPr>
                <w:rStyle w:val="Lienhypertexte"/>
                <w:rFonts w:cs="Arial"/>
                <w:noProof/>
              </w:rPr>
              <w:t>15.2 – Tribunal compétent</w:t>
            </w:r>
            <w:r w:rsidR="00C31A09" w:rsidRPr="00C31A09">
              <w:rPr>
                <w:noProof/>
                <w:webHidden/>
              </w:rPr>
              <w:tab/>
            </w:r>
            <w:r w:rsidR="00C31A09" w:rsidRPr="00C31A09">
              <w:rPr>
                <w:noProof/>
                <w:webHidden/>
              </w:rPr>
              <w:fldChar w:fldCharType="begin"/>
            </w:r>
            <w:r w:rsidR="00C31A09" w:rsidRPr="00C31A09">
              <w:rPr>
                <w:noProof/>
                <w:webHidden/>
              </w:rPr>
              <w:instrText xml:space="preserve"> PAGEREF _Toc184896412 \h </w:instrText>
            </w:r>
            <w:r w:rsidR="00C31A09" w:rsidRPr="00C31A09">
              <w:rPr>
                <w:noProof/>
                <w:webHidden/>
              </w:rPr>
            </w:r>
            <w:r w:rsidR="00C31A09" w:rsidRPr="00C31A09">
              <w:rPr>
                <w:noProof/>
                <w:webHidden/>
              </w:rPr>
              <w:fldChar w:fldCharType="separate"/>
            </w:r>
            <w:r>
              <w:rPr>
                <w:noProof/>
                <w:webHidden/>
              </w:rPr>
              <w:t>13</w:t>
            </w:r>
            <w:r w:rsidR="00C31A09" w:rsidRP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13" w:history="1">
            <w:r w:rsidR="00C31A09" w:rsidRPr="00AB4B2D">
              <w:rPr>
                <w:rStyle w:val="Lienhypertexte"/>
                <w:rFonts w:eastAsia="Times New Roman"/>
                <w:noProof/>
                <w:lang w:eastAsia="fr-FR"/>
              </w:rPr>
              <w:t>ARTICLE 16 – DEROGATIONS AU CCAG</w:t>
            </w:r>
            <w:r w:rsidR="00C31A09">
              <w:rPr>
                <w:noProof/>
                <w:webHidden/>
              </w:rPr>
              <w:tab/>
            </w:r>
            <w:r w:rsidR="00C31A09">
              <w:rPr>
                <w:noProof/>
                <w:webHidden/>
              </w:rPr>
              <w:fldChar w:fldCharType="begin"/>
            </w:r>
            <w:r w:rsidR="00C31A09">
              <w:rPr>
                <w:noProof/>
                <w:webHidden/>
              </w:rPr>
              <w:instrText xml:space="preserve"> PAGEREF _Toc184896413 \h </w:instrText>
            </w:r>
            <w:r w:rsidR="00C31A09">
              <w:rPr>
                <w:noProof/>
                <w:webHidden/>
              </w:rPr>
            </w:r>
            <w:r w:rsidR="00C31A09">
              <w:rPr>
                <w:noProof/>
                <w:webHidden/>
              </w:rPr>
              <w:fldChar w:fldCharType="separate"/>
            </w:r>
            <w:r>
              <w:rPr>
                <w:noProof/>
                <w:webHidden/>
              </w:rPr>
              <w:t>13</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14" w:history="1">
            <w:r w:rsidR="00C31A09" w:rsidRPr="00AB4B2D">
              <w:rPr>
                <w:rStyle w:val="Lienhypertexte"/>
                <w:rFonts w:eastAsia="Times New Roman" w:cs="Arial"/>
                <w:caps/>
                <w:noProof/>
                <w:lang w:eastAsia="ar-SA"/>
              </w:rPr>
              <w:t>Article 17 : signature du marché</w:t>
            </w:r>
            <w:r w:rsidR="00C31A09">
              <w:rPr>
                <w:noProof/>
                <w:webHidden/>
              </w:rPr>
              <w:tab/>
            </w:r>
            <w:r w:rsidR="00C31A09">
              <w:rPr>
                <w:noProof/>
                <w:webHidden/>
              </w:rPr>
              <w:fldChar w:fldCharType="begin"/>
            </w:r>
            <w:r w:rsidR="00C31A09">
              <w:rPr>
                <w:noProof/>
                <w:webHidden/>
              </w:rPr>
              <w:instrText xml:space="preserve"> PAGEREF _Toc184896414 \h </w:instrText>
            </w:r>
            <w:r w:rsidR="00C31A09">
              <w:rPr>
                <w:noProof/>
                <w:webHidden/>
              </w:rPr>
            </w:r>
            <w:r w:rsidR="00C31A09">
              <w:rPr>
                <w:noProof/>
                <w:webHidden/>
              </w:rPr>
              <w:fldChar w:fldCharType="separate"/>
            </w:r>
            <w:r>
              <w:rPr>
                <w:noProof/>
                <w:webHidden/>
              </w:rPr>
              <w:t>13</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415" w:history="1">
            <w:r w:rsidR="00C31A09" w:rsidRPr="00AB4B2D">
              <w:rPr>
                <w:rStyle w:val="Lienhypertexte"/>
                <w:rFonts w:eastAsia="Times New Roman"/>
                <w:noProof/>
                <w:lang w:eastAsia="ar-SA"/>
              </w:rPr>
              <w:t>17.1 – Signature du marché par le titulaire individuel (ou mandataire du groupement)</w:t>
            </w:r>
            <w:r w:rsidR="00C31A09">
              <w:rPr>
                <w:noProof/>
                <w:webHidden/>
              </w:rPr>
              <w:tab/>
            </w:r>
            <w:r w:rsidR="00C31A09">
              <w:rPr>
                <w:noProof/>
                <w:webHidden/>
              </w:rPr>
              <w:fldChar w:fldCharType="begin"/>
            </w:r>
            <w:r w:rsidR="00C31A09">
              <w:rPr>
                <w:noProof/>
                <w:webHidden/>
              </w:rPr>
              <w:instrText xml:space="preserve"> PAGEREF _Toc184896415 \h </w:instrText>
            </w:r>
            <w:r w:rsidR="00C31A09">
              <w:rPr>
                <w:noProof/>
                <w:webHidden/>
              </w:rPr>
            </w:r>
            <w:r w:rsidR="00C31A09">
              <w:rPr>
                <w:noProof/>
                <w:webHidden/>
              </w:rPr>
              <w:fldChar w:fldCharType="separate"/>
            </w:r>
            <w:r>
              <w:rPr>
                <w:noProof/>
                <w:webHidden/>
              </w:rPr>
              <w:t>13</w:t>
            </w:r>
            <w:r w:rsidR="00C31A09">
              <w:rPr>
                <w:noProof/>
                <w:webHidden/>
              </w:rPr>
              <w:fldChar w:fldCharType="end"/>
            </w:r>
          </w:hyperlink>
        </w:p>
        <w:p w:rsidR="00C31A09" w:rsidRDefault="008E10C2">
          <w:pPr>
            <w:pStyle w:val="TM2"/>
            <w:tabs>
              <w:tab w:val="right" w:leader="dot" w:pos="9062"/>
            </w:tabs>
            <w:rPr>
              <w:rFonts w:asciiTheme="minorHAnsi" w:eastAsiaTheme="minorEastAsia" w:hAnsiTheme="minorHAnsi"/>
              <w:noProof/>
              <w:lang w:eastAsia="fr-FR"/>
            </w:rPr>
          </w:pPr>
          <w:hyperlink w:anchor="_Toc184896416" w:history="1">
            <w:r w:rsidR="00C31A09" w:rsidRPr="00AB4B2D">
              <w:rPr>
                <w:rStyle w:val="Lienhypertexte"/>
                <w:rFonts w:eastAsia="Times New Roman"/>
                <w:noProof/>
                <w:lang w:eastAsia="ar-SA"/>
              </w:rPr>
              <w:t>17.2 – Signature du marché par les cotraitants en cas de groupement</w:t>
            </w:r>
            <w:r w:rsidR="00C31A09">
              <w:rPr>
                <w:noProof/>
                <w:webHidden/>
              </w:rPr>
              <w:tab/>
            </w:r>
            <w:r w:rsidR="00C31A09">
              <w:rPr>
                <w:noProof/>
                <w:webHidden/>
              </w:rPr>
              <w:fldChar w:fldCharType="begin"/>
            </w:r>
            <w:r w:rsidR="00C31A09">
              <w:rPr>
                <w:noProof/>
                <w:webHidden/>
              </w:rPr>
              <w:instrText xml:space="preserve"> PAGEREF _Toc184896416 \h </w:instrText>
            </w:r>
            <w:r w:rsidR="00C31A09">
              <w:rPr>
                <w:noProof/>
                <w:webHidden/>
              </w:rPr>
            </w:r>
            <w:r w:rsidR="00C31A09">
              <w:rPr>
                <w:noProof/>
                <w:webHidden/>
              </w:rPr>
              <w:fldChar w:fldCharType="separate"/>
            </w:r>
            <w:r>
              <w:rPr>
                <w:noProof/>
                <w:webHidden/>
              </w:rPr>
              <w:t>13</w:t>
            </w:r>
            <w:r w:rsidR="00C31A09">
              <w:rPr>
                <w:noProof/>
                <w:webHidden/>
              </w:rPr>
              <w:fldChar w:fldCharType="end"/>
            </w:r>
          </w:hyperlink>
        </w:p>
        <w:p w:rsidR="00C31A09" w:rsidRDefault="008E10C2">
          <w:pPr>
            <w:pStyle w:val="TM1"/>
            <w:tabs>
              <w:tab w:val="right" w:leader="dot" w:pos="9062"/>
            </w:tabs>
            <w:rPr>
              <w:rFonts w:asciiTheme="minorHAnsi" w:eastAsiaTheme="minorEastAsia" w:hAnsiTheme="minorHAnsi"/>
              <w:noProof/>
              <w:lang w:eastAsia="fr-FR"/>
            </w:rPr>
          </w:pPr>
          <w:hyperlink w:anchor="_Toc184896417" w:history="1">
            <w:r w:rsidR="00C31A09" w:rsidRPr="00AB4B2D">
              <w:rPr>
                <w:rStyle w:val="Lienhypertexte"/>
                <w:rFonts w:eastAsia="Times New Roman"/>
                <w:noProof/>
                <w:lang w:eastAsia="ar-SA"/>
              </w:rPr>
              <w:t>ARTICLE 18 : DECISION DU POUVOIR ADJUDICATEUR</w:t>
            </w:r>
            <w:r w:rsidR="00C31A09">
              <w:rPr>
                <w:noProof/>
                <w:webHidden/>
              </w:rPr>
              <w:tab/>
            </w:r>
            <w:r w:rsidR="00C31A09">
              <w:rPr>
                <w:noProof/>
                <w:webHidden/>
              </w:rPr>
              <w:fldChar w:fldCharType="begin"/>
            </w:r>
            <w:r w:rsidR="00C31A09">
              <w:rPr>
                <w:noProof/>
                <w:webHidden/>
              </w:rPr>
              <w:instrText xml:space="preserve"> PAGEREF _Toc184896417 \h </w:instrText>
            </w:r>
            <w:r w:rsidR="00C31A09">
              <w:rPr>
                <w:noProof/>
                <w:webHidden/>
              </w:rPr>
            </w:r>
            <w:r w:rsidR="00C31A09">
              <w:rPr>
                <w:noProof/>
                <w:webHidden/>
              </w:rPr>
              <w:fldChar w:fldCharType="separate"/>
            </w:r>
            <w:r>
              <w:rPr>
                <w:noProof/>
                <w:webHidden/>
              </w:rPr>
              <w:t>14</w:t>
            </w:r>
            <w:r w:rsidR="00C31A09">
              <w:rPr>
                <w:noProof/>
                <w:webHidden/>
              </w:rPr>
              <w:fldChar w:fldCharType="end"/>
            </w:r>
          </w:hyperlink>
        </w:p>
        <w:p w:rsidR="00126C0E" w:rsidRPr="00262263" w:rsidRDefault="00FB5F08" w:rsidP="00262263">
          <w:r>
            <w:rPr>
              <w:b/>
              <w:bCs/>
            </w:rPr>
            <w:lastRenderedPageBreak/>
            <w:fldChar w:fldCharType="end"/>
          </w:r>
        </w:p>
      </w:sdtContent>
    </w:sdt>
    <w:p w:rsidR="005C1E92" w:rsidRPr="005C1E92" w:rsidRDefault="00126C0E" w:rsidP="00126C0E">
      <w:pPr>
        <w:pStyle w:val="Titre1"/>
        <w:rPr>
          <w:rFonts w:eastAsia="Times New Roman"/>
          <w:lang w:eastAsia="ar-SA"/>
        </w:rPr>
      </w:pPr>
      <w:bookmarkStart w:id="1" w:name="_Toc184896384"/>
      <w:r>
        <w:rPr>
          <w:rFonts w:eastAsia="Times New Roman"/>
          <w:lang w:eastAsia="ar-SA"/>
        </w:rPr>
        <w:t>ARTICLE</w:t>
      </w:r>
      <w:r w:rsidR="005C1E92" w:rsidRPr="005C1E92">
        <w:rPr>
          <w:rFonts w:eastAsia="Times New Roman"/>
          <w:lang w:eastAsia="ar-SA"/>
        </w:rPr>
        <w:t xml:space="preserve"> 1 : IDENTIFICATION DE LA COLLECTIVITE</w:t>
      </w:r>
      <w:bookmarkEnd w:id="1"/>
    </w:p>
    <w:p w:rsidR="005C1E92" w:rsidRDefault="005C1E92" w:rsidP="005C1E92">
      <w:pPr>
        <w:pStyle w:val="Paragraphedeliste1"/>
        <w:ind w:left="0"/>
        <w:rPr>
          <w:rFonts w:ascii="Arial Narrow" w:hAnsi="Arial Narrow" w:cs="Arial"/>
          <w:b/>
          <w:kern w:val="0"/>
          <w:sz w:val="20"/>
          <w:szCs w:val="20"/>
        </w:rPr>
      </w:pPr>
    </w:p>
    <w:p w:rsidR="009D5807" w:rsidRDefault="009D5807" w:rsidP="009D5807">
      <w:pPr>
        <w:pStyle w:val="Paragraphedeliste1"/>
        <w:ind w:left="0"/>
        <w:rPr>
          <w:rFonts w:ascii="Arial" w:hAnsi="Arial" w:cs="Arial"/>
          <w:sz w:val="22"/>
          <w:szCs w:val="22"/>
        </w:rPr>
      </w:pPr>
      <w:r w:rsidRPr="00E634FD">
        <w:rPr>
          <w:rFonts w:ascii="Arial" w:hAnsi="Arial" w:cs="Arial"/>
          <w:sz w:val="22"/>
          <w:szCs w:val="22"/>
        </w:rPr>
        <w:t xml:space="preserve">La Ville de Loos, représentée par son Maire, Madame Anne VOITURIEZ, ayant reçu délégation de pouvoir et de signature du Conseil </w:t>
      </w:r>
      <w:r w:rsidRPr="00592293">
        <w:rPr>
          <w:rFonts w:ascii="Arial" w:hAnsi="Arial" w:cs="Arial"/>
          <w:sz w:val="22"/>
          <w:szCs w:val="22"/>
        </w:rPr>
        <w:t xml:space="preserve">municipal par délibération </w:t>
      </w:r>
      <w:r w:rsidRPr="0011527F">
        <w:rPr>
          <w:rFonts w:ascii="Arial" w:hAnsi="Arial" w:cs="Arial"/>
          <w:sz w:val="22"/>
          <w:szCs w:val="22"/>
        </w:rPr>
        <w:t>n°2020-05-23-06</w:t>
      </w:r>
      <w:r>
        <w:rPr>
          <w:rFonts w:ascii="Arial" w:hAnsi="Arial" w:cs="Arial"/>
          <w:sz w:val="22"/>
          <w:szCs w:val="22"/>
        </w:rPr>
        <w:t xml:space="preserve"> </w:t>
      </w:r>
      <w:r w:rsidRPr="00592293">
        <w:rPr>
          <w:rFonts w:ascii="Arial" w:hAnsi="Arial" w:cs="Arial"/>
          <w:sz w:val="22"/>
          <w:szCs w:val="22"/>
        </w:rPr>
        <w:t xml:space="preserve">en date du </w:t>
      </w:r>
      <w:r>
        <w:rPr>
          <w:rFonts w:ascii="Arial" w:hAnsi="Arial" w:cs="Arial"/>
          <w:sz w:val="22"/>
          <w:szCs w:val="22"/>
        </w:rPr>
        <w:t>23</w:t>
      </w:r>
      <w:r w:rsidRPr="00592293">
        <w:rPr>
          <w:rFonts w:ascii="Arial" w:hAnsi="Arial" w:cs="Arial"/>
          <w:sz w:val="22"/>
          <w:szCs w:val="22"/>
        </w:rPr>
        <w:t xml:space="preserve"> </w:t>
      </w:r>
      <w:r>
        <w:rPr>
          <w:rFonts w:ascii="Arial" w:hAnsi="Arial" w:cs="Arial"/>
          <w:sz w:val="22"/>
          <w:szCs w:val="22"/>
        </w:rPr>
        <w:t>mai</w:t>
      </w:r>
      <w:r w:rsidRPr="00592293">
        <w:rPr>
          <w:rFonts w:ascii="Arial" w:hAnsi="Arial" w:cs="Arial"/>
          <w:sz w:val="22"/>
          <w:szCs w:val="22"/>
        </w:rPr>
        <w:t xml:space="preserve"> </w:t>
      </w:r>
      <w:r>
        <w:rPr>
          <w:rFonts w:ascii="Arial" w:hAnsi="Arial" w:cs="Arial"/>
          <w:sz w:val="22"/>
          <w:szCs w:val="22"/>
        </w:rPr>
        <w:t>2020</w:t>
      </w:r>
      <w:r w:rsidRPr="00592293">
        <w:rPr>
          <w:rFonts w:ascii="Arial" w:hAnsi="Arial" w:cs="Arial"/>
          <w:sz w:val="22"/>
          <w:szCs w:val="22"/>
        </w:rPr>
        <w:t xml:space="preserve">, </w:t>
      </w:r>
      <w:r>
        <w:rPr>
          <w:rFonts w:ascii="Arial" w:hAnsi="Arial" w:cs="Arial"/>
          <w:sz w:val="22"/>
          <w:szCs w:val="22"/>
        </w:rPr>
        <w:t xml:space="preserve">pour prendre toute décision </w:t>
      </w:r>
      <w:r w:rsidRPr="00A11035">
        <w:rPr>
          <w:rFonts w:ascii="Arial" w:hAnsi="Arial" w:cs="Arial"/>
          <w:sz w:val="22"/>
          <w:szCs w:val="22"/>
        </w:rPr>
        <w:t>concernant la préparation, la passation, l’exécution et le règlement des marchés et accords-cadres</w:t>
      </w:r>
      <w:r>
        <w:rPr>
          <w:rFonts w:ascii="Arial" w:hAnsi="Arial" w:cs="Arial"/>
          <w:sz w:val="22"/>
          <w:szCs w:val="22"/>
        </w:rPr>
        <w:t xml:space="preserve"> </w:t>
      </w:r>
      <w:r w:rsidRPr="00592293">
        <w:rPr>
          <w:rFonts w:ascii="Arial" w:hAnsi="Arial" w:cs="Arial"/>
          <w:sz w:val="22"/>
          <w:szCs w:val="22"/>
        </w:rPr>
        <w:t xml:space="preserve">concernant </w:t>
      </w:r>
      <w:r w:rsidRPr="002343AB">
        <w:rPr>
          <w:rFonts w:ascii="Arial" w:hAnsi="Arial" w:cs="Arial"/>
          <w:sz w:val="22"/>
          <w:szCs w:val="22"/>
        </w:rPr>
        <w:t>les fournitures et services sans limite de montant, des accords-cadres de travaux sans limite de montant, des opérations de travaux jusqu’à 500 000 euros HT</w:t>
      </w:r>
      <w:r w:rsidRPr="00592293">
        <w:rPr>
          <w:rFonts w:ascii="Arial" w:hAnsi="Arial" w:cs="Arial"/>
          <w:sz w:val="22"/>
          <w:szCs w:val="22"/>
        </w:rPr>
        <w:t xml:space="preserve"> […] dès lors que les crédits sont inscrits au budget.</w:t>
      </w:r>
    </w:p>
    <w:p w:rsidR="00FB5F08" w:rsidRDefault="00126C0E" w:rsidP="00FB5F08">
      <w:pPr>
        <w:pStyle w:val="Titre1"/>
        <w:rPr>
          <w:rFonts w:eastAsia="Times New Roman"/>
          <w:lang w:eastAsia="ar-SA"/>
        </w:rPr>
      </w:pPr>
      <w:bookmarkStart w:id="2" w:name="_Toc184896385"/>
      <w:r>
        <w:rPr>
          <w:rFonts w:eastAsia="Times New Roman"/>
          <w:lang w:eastAsia="ar-SA"/>
        </w:rPr>
        <w:t>ARTICLE</w:t>
      </w:r>
      <w:r w:rsidR="00BA2529" w:rsidRPr="00BA2529">
        <w:rPr>
          <w:rFonts w:eastAsia="Times New Roman"/>
          <w:lang w:eastAsia="ar-SA"/>
        </w:rPr>
        <w:t xml:space="preserve"> 2 : CONTRACTANT(S)</w:t>
      </w:r>
      <w:bookmarkEnd w:id="2"/>
    </w:p>
    <w:p w:rsidR="00FB5F08" w:rsidRDefault="00FB5F08" w:rsidP="00FB5F08">
      <w:pPr>
        <w:pStyle w:val="Titre2"/>
        <w:rPr>
          <w:rFonts w:eastAsiaTheme="minorHAnsi" w:cstheme="minorBidi"/>
          <w:b w:val="0"/>
          <w:szCs w:val="22"/>
          <w:lang w:eastAsia="ar-SA"/>
        </w:rPr>
      </w:pPr>
    </w:p>
    <w:p w:rsidR="00FB5F08" w:rsidRPr="00FB5F08" w:rsidRDefault="00FB5F08" w:rsidP="00FB5F08">
      <w:pPr>
        <w:pStyle w:val="Titre2"/>
        <w:rPr>
          <w:lang w:eastAsia="ar-SA"/>
        </w:rPr>
      </w:pPr>
      <w:bookmarkStart w:id="3" w:name="_Toc184896386"/>
      <w:r>
        <w:rPr>
          <w:lang w:eastAsia="ar-SA"/>
        </w:rPr>
        <w:t>2.1 Désignation des cocontractants</w:t>
      </w:r>
      <w:bookmarkEnd w:id="3"/>
      <w:r>
        <w:rPr>
          <w:lang w:eastAsia="ar-SA"/>
        </w:rPr>
        <w:t xml:space="preserve"> </w:t>
      </w:r>
    </w:p>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lastRenderedPageBreak/>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rsidR="00BA2529" w:rsidRPr="00BA2529" w:rsidRDefault="00BA2529" w:rsidP="00BA2529">
      <w:pPr>
        <w:suppressAutoHyphens/>
        <w:spacing w:after="0" w:line="240" w:lineRule="auto"/>
        <w:rPr>
          <w:rFonts w:eastAsia="Times New Roman" w:cs="Arial"/>
          <w:b/>
          <w:bCs/>
          <w:lang w:eastAsia="ar-SA"/>
        </w:rPr>
      </w:pPr>
    </w:p>
    <w:p w:rsidR="00C305B8" w:rsidRDefault="00C305B8" w:rsidP="00C305B8">
      <w:pPr>
        <w:pStyle w:val="Titre2"/>
        <w:rPr>
          <w:rFonts w:eastAsia="Times New Roman"/>
          <w:lang w:eastAsia="ar-SA"/>
        </w:rPr>
      </w:pPr>
      <w:bookmarkStart w:id="4" w:name="_Toc184896387"/>
      <w:r>
        <w:rPr>
          <w:rFonts w:eastAsia="Times New Roman"/>
          <w:lang w:eastAsia="ar-SA"/>
        </w:rPr>
        <w:t xml:space="preserve">2.2 </w:t>
      </w:r>
      <w:r w:rsidR="0017617E">
        <w:rPr>
          <w:rFonts w:eastAsia="Times New Roman"/>
          <w:lang w:eastAsia="ar-SA"/>
        </w:rPr>
        <w:t>Pièces constitutives du marché public</w:t>
      </w:r>
      <w:bookmarkEnd w:id="4"/>
    </w:p>
    <w:p w:rsidR="00C305B8" w:rsidRDefault="00C305B8" w:rsidP="00BA2529">
      <w:pPr>
        <w:suppressAutoHyphens/>
        <w:spacing w:after="0" w:line="240" w:lineRule="auto"/>
        <w:rPr>
          <w:rFonts w:eastAsia="Times New Roman" w:cs="Arial"/>
          <w:b/>
          <w:bCs/>
          <w:lang w:eastAsia="ar-SA"/>
        </w:rPr>
      </w:pPr>
    </w:p>
    <w:p w:rsidR="00C305B8"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FC4339">
        <w:rPr>
          <w:rFonts w:eastAsia="Times New Roman" w:cs="Arial"/>
          <w:color w:val="000000"/>
          <w:lang w:eastAsia="ar-SA"/>
        </w:rPr>
        <w:t>FCS</w:t>
      </w:r>
      <w:r w:rsidR="006C2A2C">
        <w:rPr>
          <w:rFonts w:eastAsia="Times New Roman" w:cs="Arial"/>
          <w:color w:val="000000"/>
          <w:lang w:eastAsia="ar-SA"/>
        </w:rPr>
        <w:t xml:space="preserve"> (2021)</w:t>
      </w:r>
      <w:r w:rsidRPr="00BA2529">
        <w:rPr>
          <w:rFonts w:eastAsia="Times New Roman" w:cs="Arial"/>
          <w:color w:val="000000"/>
          <w:lang w:eastAsia="ar-SA"/>
        </w:rPr>
        <w:t>, les pièces constitutives du marché sont les suivantes, par ordre de priorité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L'Acte d’Engagement </w:t>
      </w:r>
      <w:r>
        <w:rPr>
          <w:rFonts w:eastAsia="Times New Roman" w:cs="Arial"/>
          <w:color w:val="000000"/>
          <w:lang w:eastAsia="ar-SA"/>
        </w:rPr>
        <w:t xml:space="preserve">valant Cahier des Clauses </w:t>
      </w:r>
      <w:r w:rsidR="0017617E">
        <w:rPr>
          <w:rFonts w:eastAsia="Times New Roman" w:cs="Arial"/>
          <w:color w:val="000000"/>
          <w:lang w:eastAsia="ar-SA"/>
        </w:rPr>
        <w:t xml:space="preserve">Administratives </w:t>
      </w:r>
      <w:r>
        <w:rPr>
          <w:rFonts w:eastAsia="Times New Roman" w:cs="Arial"/>
          <w:color w:val="000000"/>
          <w:lang w:eastAsia="ar-SA"/>
        </w:rPr>
        <w:t>Particulière</w:t>
      </w:r>
      <w:r w:rsidR="00FC4339">
        <w:rPr>
          <w:rFonts w:eastAsia="Times New Roman" w:cs="Arial"/>
          <w:color w:val="000000"/>
          <w:lang w:eastAsia="ar-SA"/>
        </w:rPr>
        <w:t>s</w:t>
      </w:r>
      <w:r>
        <w:rPr>
          <w:rFonts w:eastAsia="Times New Roman" w:cs="Arial"/>
          <w:color w:val="000000"/>
          <w:lang w:eastAsia="ar-SA"/>
        </w:rPr>
        <w:t xml:space="preserve"> </w:t>
      </w:r>
      <w:r w:rsidRPr="00BA2529">
        <w:rPr>
          <w:rFonts w:eastAsia="Times New Roman" w:cs="Arial"/>
          <w:color w:val="000000"/>
          <w:lang w:eastAsia="ar-SA"/>
        </w:rPr>
        <w:t>(AE</w:t>
      </w:r>
      <w:r w:rsidR="00FC4339">
        <w:rPr>
          <w:rFonts w:eastAsia="Times New Roman" w:cs="Arial"/>
          <w:color w:val="000000"/>
          <w:lang w:eastAsia="ar-SA"/>
        </w:rPr>
        <w:t xml:space="preserve"> valant C.C</w:t>
      </w:r>
      <w:r>
        <w:rPr>
          <w:rFonts w:eastAsia="Times New Roman" w:cs="Arial"/>
          <w:color w:val="000000"/>
          <w:lang w:eastAsia="ar-SA"/>
        </w:rPr>
        <w:t>.</w:t>
      </w:r>
      <w:r w:rsidR="0017617E">
        <w:rPr>
          <w:rFonts w:eastAsia="Times New Roman" w:cs="Arial"/>
          <w:color w:val="000000"/>
          <w:lang w:eastAsia="ar-SA"/>
        </w:rPr>
        <w:t>A.</w:t>
      </w:r>
      <w:r>
        <w:rPr>
          <w:rFonts w:eastAsia="Times New Roman" w:cs="Arial"/>
          <w:color w:val="000000"/>
          <w:lang w:eastAsia="ar-SA"/>
        </w:rPr>
        <w:t>P.</w:t>
      </w:r>
      <w:r w:rsidRPr="00BA2529">
        <w:rPr>
          <w:rFonts w:eastAsia="Times New Roman" w:cs="Arial"/>
          <w:color w:val="000000"/>
          <w:lang w:eastAsia="ar-SA"/>
        </w:rPr>
        <w:t xml:space="preserve">), </w:t>
      </w:r>
    </w:p>
    <w:p w:rsidR="00BA2529" w:rsidRPr="00B03397"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lang w:eastAsia="ar-SA"/>
        </w:rPr>
        <w:t xml:space="preserve">Le Bordereau des Prix Unitaires intégralement complété (BPU), </w:t>
      </w:r>
    </w:p>
    <w:p w:rsidR="00B03397" w:rsidRPr="001401FF" w:rsidRDefault="00B03397"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Pr>
          <w:rFonts w:eastAsia="Times New Roman" w:cs="Arial"/>
          <w:lang w:eastAsia="ar-SA"/>
        </w:rPr>
        <w:t>La Décomposition des Prix Globaux et Forfaitaires (DPGF),</w:t>
      </w:r>
    </w:p>
    <w:p w:rsidR="001401FF" w:rsidRPr="00BA2529" w:rsidRDefault="001401FF"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Pr>
          <w:rFonts w:eastAsia="Times New Roman" w:cs="Arial"/>
          <w:lang w:eastAsia="ar-SA"/>
        </w:rPr>
        <w:t>Le Cahier des Clauses Techniques Particulières</w:t>
      </w:r>
      <w:r w:rsidR="004B1C9F">
        <w:rPr>
          <w:rFonts w:eastAsia="Times New Roman" w:cs="Arial"/>
          <w:lang w:eastAsia="ar-SA"/>
        </w:rPr>
        <w:t xml:space="preserve"> (CCTP)</w:t>
      </w:r>
      <w:r>
        <w:rPr>
          <w:rFonts w:eastAsia="Times New Roman" w:cs="Arial"/>
          <w:lang w:eastAsia="ar-SA"/>
        </w:rPr>
        <w:t xml:space="preserve">, </w:t>
      </w:r>
    </w:p>
    <w:p w:rsid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Le Cahier des Clauses Administratives Générales applicable aux marchés de </w:t>
      </w:r>
      <w:r w:rsidR="00FC4339">
        <w:rPr>
          <w:rFonts w:eastAsia="Times New Roman" w:cs="Arial"/>
          <w:color w:val="000000"/>
          <w:lang w:eastAsia="ar-SA"/>
        </w:rPr>
        <w:t>Fournitures Courantes et Services</w:t>
      </w:r>
      <w:r w:rsidRPr="00BA2529">
        <w:rPr>
          <w:rFonts w:eastAsia="Times New Roman" w:cs="Arial"/>
          <w:color w:val="000000"/>
          <w:lang w:eastAsia="ar-SA"/>
        </w:rPr>
        <w:t xml:space="preserve"> (CCAG </w:t>
      </w:r>
      <w:r w:rsidR="00FC4339">
        <w:rPr>
          <w:rFonts w:eastAsia="Times New Roman" w:cs="Arial"/>
          <w:color w:val="000000"/>
          <w:lang w:eastAsia="ar-SA"/>
        </w:rPr>
        <w:t>FCS</w:t>
      </w:r>
      <w:r w:rsidRPr="00BA2529">
        <w:rPr>
          <w:rFonts w:eastAsia="Times New Roman" w:cs="Arial"/>
          <w:color w:val="000000"/>
          <w:lang w:eastAsia="ar-SA"/>
        </w:rPr>
        <w:t>),</w:t>
      </w:r>
    </w:p>
    <w:p w:rsidR="00FC4339" w:rsidRPr="00EE13F5" w:rsidRDefault="00BA2529" w:rsidP="00FB5F08">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FC4339">
        <w:rPr>
          <w:rFonts w:eastAsia="Times New Roman" w:cs="Arial"/>
          <w:color w:val="000000"/>
          <w:lang w:eastAsia="ar-SA"/>
        </w:rPr>
        <w:t xml:space="preserve">Les </w:t>
      </w:r>
      <w:r w:rsidR="00FC4339">
        <w:rPr>
          <w:rFonts w:eastAsia="Times New Roman" w:cs="Arial"/>
          <w:color w:val="000000"/>
          <w:lang w:eastAsia="ar-SA"/>
        </w:rPr>
        <w:t>modifications (« avenants »)</w:t>
      </w:r>
      <w:r w:rsidR="00AF0258">
        <w:rPr>
          <w:rFonts w:eastAsia="Times New Roman" w:cs="Arial"/>
          <w:color w:val="000000"/>
          <w:lang w:eastAsia="ar-SA"/>
        </w:rPr>
        <w:t>,</w:t>
      </w:r>
    </w:p>
    <w:p w:rsidR="00EE13F5" w:rsidRPr="00FC4339" w:rsidRDefault="00EE13F5" w:rsidP="00FB5F08">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Pr>
          <w:rFonts w:eastAsia="Times New Roman" w:cs="Arial"/>
          <w:color w:val="000000"/>
          <w:lang w:eastAsia="ar-SA"/>
        </w:rPr>
        <w:t xml:space="preserve">Les actes spéciaux de sous-traitance, </w:t>
      </w:r>
    </w:p>
    <w:p w:rsidR="00BA2529" w:rsidRPr="00FC4339" w:rsidRDefault="00BA2529" w:rsidP="00FB5F08">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FC4339">
        <w:rPr>
          <w:rFonts w:eastAsia="Times New Roman" w:cs="Arial"/>
          <w:color w:val="000000"/>
          <w:lang w:eastAsia="ar-SA"/>
        </w:rPr>
        <w:t xml:space="preserve">Le mémoire technique du candidat,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BA2529">
        <w:rPr>
          <w:rFonts w:eastAsia="Times New Roman" w:cs="Arial"/>
          <w:color w:val="000000"/>
          <w:lang w:eastAsia="ar-SA"/>
        </w:rPr>
        <w:t>Les devis du titulaire en cours d’exécution du marché.</w:t>
      </w:r>
    </w:p>
    <w:p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rsidR="00BA2529" w:rsidRPr="00BA2529" w:rsidRDefault="00BA2529" w:rsidP="00BA2529">
      <w:pPr>
        <w:suppressAutoHyphens/>
        <w:spacing w:after="0" w:line="240" w:lineRule="auto"/>
        <w:rPr>
          <w:rFonts w:eastAsia="Times New Roman" w:cs="Arial"/>
          <w:lang w:eastAsia="ar-SA"/>
        </w:rPr>
      </w:pPr>
    </w:p>
    <w:p w:rsidR="00FC4339" w:rsidRPr="00187B71"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t>prestations</w:t>
      </w:r>
      <w:r w:rsidRPr="00BA2529">
        <w:rPr>
          <w:rFonts w:eastAsia="Times New Roman" w:cs="Arial"/>
          <w:lang w:eastAsia="ar-SA"/>
        </w:rPr>
        <w:t xml:space="preserve"> faisant l’objet du marché aux conditions particulières ci-après, qui constituent l’offre.</w:t>
      </w:r>
    </w:p>
    <w:p w:rsidR="00D24B47" w:rsidRPr="00BA2529" w:rsidRDefault="00126C0E" w:rsidP="00126C0E">
      <w:pPr>
        <w:pStyle w:val="Titre1"/>
        <w:rPr>
          <w:rFonts w:eastAsia="Times New Roman"/>
          <w:lang w:eastAsia="ar-SA"/>
        </w:rPr>
      </w:pPr>
      <w:bookmarkStart w:id="5" w:name="_Toc184896388"/>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5"/>
      <w:r w:rsidR="00D24B47">
        <w:rPr>
          <w:rFonts w:eastAsia="Times New Roman"/>
          <w:lang w:eastAsia="ar-SA"/>
        </w:rPr>
        <w:t xml:space="preserve"> </w:t>
      </w:r>
    </w:p>
    <w:p w:rsidR="00D24B47" w:rsidRPr="00BA2529" w:rsidRDefault="00D24B47" w:rsidP="00BA2529">
      <w:pPr>
        <w:suppressAutoHyphens/>
        <w:spacing w:after="0" w:line="240" w:lineRule="auto"/>
        <w:rPr>
          <w:rFonts w:eastAsia="Times New Roman" w:cs="Arial"/>
          <w:lang w:eastAsia="ar-SA"/>
        </w:rPr>
      </w:pPr>
    </w:p>
    <w:p w:rsidR="00BA2529" w:rsidRPr="00C305B8" w:rsidRDefault="00D24B47" w:rsidP="00C305B8">
      <w:pPr>
        <w:widowControl w:val="0"/>
        <w:suppressAutoHyphens/>
        <w:autoSpaceDN w:val="0"/>
        <w:spacing w:after="0" w:line="240" w:lineRule="auto"/>
        <w:ind w:right="-1"/>
        <w:textAlignment w:val="baseline"/>
        <w:rPr>
          <w:rFonts w:eastAsia="SimSun" w:cs="Arial"/>
          <w:kern w:val="3"/>
          <w:lang w:eastAsia="zh-CN" w:bidi="hi-IN"/>
        </w:rPr>
      </w:pPr>
      <w:r w:rsidRPr="00D24B47">
        <w:rPr>
          <w:rFonts w:eastAsia="SimSun" w:cs="Arial"/>
          <w:kern w:val="3"/>
          <w:lang w:eastAsia="zh-CN" w:bidi="hi-IN"/>
        </w:rPr>
        <w:t xml:space="preserve">La consultation est lancée en procédure adaptée dans les conditions </w:t>
      </w:r>
      <w:r w:rsidR="006B633B" w:rsidRPr="006B633B">
        <w:rPr>
          <w:rFonts w:eastAsia="SimSun" w:cs="Arial"/>
          <w:kern w:val="3"/>
          <w:lang w:eastAsia="zh-CN" w:bidi="hi-IN"/>
        </w:rPr>
        <w:t>des articles R2123-1 et R.2123-4 à R.2123-6 du Code de la Commande Publique</w:t>
      </w:r>
      <w:r w:rsidR="00535F01">
        <w:rPr>
          <w:rFonts w:eastAsia="SimSun" w:cs="Arial"/>
          <w:kern w:val="3"/>
          <w:lang w:eastAsia="zh-CN" w:bidi="hi-IN"/>
        </w:rPr>
        <w:t>.</w:t>
      </w:r>
    </w:p>
    <w:p w:rsidR="00BA2529" w:rsidRPr="00BA2529" w:rsidRDefault="00126C0E" w:rsidP="00126C0E">
      <w:pPr>
        <w:pStyle w:val="Titre1"/>
        <w:rPr>
          <w:rFonts w:eastAsia="Times New Roman"/>
          <w:lang w:eastAsia="ar-SA"/>
        </w:rPr>
      </w:pPr>
      <w:bookmarkStart w:id="6" w:name="_Toc184896389"/>
      <w:r>
        <w:rPr>
          <w:rFonts w:eastAsia="Times New Roman"/>
          <w:lang w:eastAsia="ar-SA"/>
        </w:rPr>
        <w:t xml:space="preserve">ARTICLE 4 : OBJET ET CONSISTANCE </w:t>
      </w:r>
      <w:r w:rsidR="00B05C75">
        <w:rPr>
          <w:rFonts w:eastAsia="Times New Roman"/>
          <w:lang w:eastAsia="ar-SA"/>
        </w:rPr>
        <w:t>DE L’ACCORD-CADRE</w:t>
      </w:r>
      <w:bookmarkEnd w:id="6"/>
      <w:r w:rsidR="00B05C75">
        <w:rPr>
          <w:rFonts w:eastAsia="Times New Roman"/>
          <w:lang w:eastAsia="ar-SA"/>
        </w:rPr>
        <w:t xml:space="preserve"> </w:t>
      </w:r>
    </w:p>
    <w:p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rsidR="00421A64" w:rsidRPr="007654E5" w:rsidRDefault="00421A64" w:rsidP="00421A64">
      <w:pPr>
        <w:spacing w:after="0" w:line="240" w:lineRule="auto"/>
        <w:rPr>
          <w:rFonts w:cs="Arial"/>
          <w:b/>
          <w:bCs/>
        </w:rPr>
      </w:pPr>
      <w:r w:rsidRPr="007654E5">
        <w:rPr>
          <w:rFonts w:cs="Arial"/>
          <w:bCs/>
        </w:rPr>
        <w:t xml:space="preserve">Les stipulations du présent règlement de consultation concernent la </w:t>
      </w:r>
      <w:r>
        <w:rPr>
          <w:rFonts w:cs="Arial"/>
          <w:b/>
          <w:bCs/>
        </w:rPr>
        <w:t xml:space="preserve">vérification, l’entretien, la fourniture et la pose de défibrillateurs (comprenant un volet formation) pour la Ville de Loos (59120). </w:t>
      </w:r>
    </w:p>
    <w:p w:rsidR="00C72C12" w:rsidRDefault="00421A64" w:rsidP="00421A64">
      <w:pPr>
        <w:spacing w:after="0" w:line="240" w:lineRule="auto"/>
        <w:rPr>
          <w:rFonts w:cs="Arial"/>
        </w:rPr>
      </w:pPr>
      <w:r>
        <w:rPr>
          <w:rFonts w:cs="Arial"/>
        </w:rPr>
        <w:t>Le marché public est</w:t>
      </w:r>
      <w:r w:rsidRPr="007654E5">
        <w:rPr>
          <w:rFonts w:cs="Arial"/>
        </w:rPr>
        <w:t xml:space="preserve"> </w:t>
      </w:r>
      <w:r>
        <w:rPr>
          <w:rFonts w:cs="Arial"/>
          <w:color w:val="C00000"/>
          <w:u w:val="single"/>
        </w:rPr>
        <w:t xml:space="preserve">conclu à prix mixtes. </w:t>
      </w:r>
    </w:p>
    <w:p w:rsidR="004B213F" w:rsidRDefault="004B213F" w:rsidP="00421A64">
      <w:pPr>
        <w:spacing w:after="0" w:line="240" w:lineRule="auto"/>
        <w:rPr>
          <w:rFonts w:cs="Arial"/>
        </w:rPr>
      </w:pPr>
    </w:p>
    <w:p w:rsidR="00421A64" w:rsidRPr="002D0BE0" w:rsidRDefault="00421A64" w:rsidP="00421A64">
      <w:pPr>
        <w:numPr>
          <w:ilvl w:val="0"/>
          <w:numId w:val="14"/>
        </w:numPr>
        <w:spacing w:after="0" w:line="240" w:lineRule="auto"/>
        <w:rPr>
          <w:rFonts w:cs="Arial"/>
          <w:b/>
          <w:u w:val="single"/>
        </w:rPr>
      </w:pPr>
      <w:r w:rsidRPr="002D0BE0">
        <w:rPr>
          <w:rFonts w:cs="Arial"/>
          <w:b/>
          <w:u w:val="single"/>
        </w:rPr>
        <w:t>Part forfaitaire</w:t>
      </w:r>
      <w:r>
        <w:rPr>
          <w:rFonts w:cs="Arial"/>
          <w:b/>
          <w:u w:val="single"/>
        </w:rPr>
        <w:t> : maintenance annuelle (vérification, entretien et formation)</w:t>
      </w:r>
    </w:p>
    <w:p w:rsidR="00421A64" w:rsidRDefault="00421A64" w:rsidP="00421A64">
      <w:pPr>
        <w:spacing w:after="0" w:line="240" w:lineRule="auto"/>
        <w:rPr>
          <w:rFonts w:cs="Arial"/>
        </w:rPr>
      </w:pPr>
    </w:p>
    <w:p w:rsidR="00421A64" w:rsidRDefault="00421A64" w:rsidP="00421A64">
      <w:r w:rsidRPr="00FA14BD">
        <w:t xml:space="preserve">Le marché public </w:t>
      </w:r>
      <w:r>
        <w:t>est</w:t>
      </w:r>
      <w:r w:rsidRPr="00FA14BD">
        <w:t xml:space="preserve"> conclu </w:t>
      </w:r>
      <w:r>
        <w:t xml:space="preserve">en partie </w:t>
      </w:r>
      <w:r w:rsidRPr="00FA14BD">
        <w:t>à prix global et forfaitaire</w:t>
      </w:r>
      <w:r>
        <w:t xml:space="preserve"> (maintenance annuelle comprenant la vérification et l’entretien)</w:t>
      </w:r>
      <w:r w:rsidRPr="00FA14BD">
        <w:t>, l’offre de prix est à remplir par le candidat dans l’Acte d’Engagement valant Cahier des Clauses Administratives Particulières.</w:t>
      </w:r>
    </w:p>
    <w:tbl>
      <w:tblPr>
        <w:tblW w:w="94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495"/>
        <w:gridCol w:w="4003"/>
      </w:tblGrid>
      <w:tr w:rsidR="00421A64" w:rsidRPr="007654E5" w:rsidTr="007252F2">
        <w:trPr>
          <w:trHeight w:val="231"/>
        </w:trPr>
        <w:tc>
          <w:tcPr>
            <w:tcW w:w="5495" w:type="dxa"/>
            <w:shd w:val="clear" w:color="auto" w:fill="auto"/>
          </w:tcPr>
          <w:p w:rsidR="00421A64" w:rsidRPr="007654E5" w:rsidRDefault="00421A64" w:rsidP="007252F2">
            <w:pPr>
              <w:spacing w:after="0" w:line="240" w:lineRule="auto"/>
              <w:jc w:val="center"/>
              <w:rPr>
                <w:rFonts w:cs="Arial"/>
                <w:b/>
              </w:rPr>
            </w:pPr>
            <w:r w:rsidRPr="007654E5">
              <w:rPr>
                <w:rFonts w:cs="Arial"/>
                <w:b/>
              </w:rPr>
              <w:t xml:space="preserve">Désignation du lot </w:t>
            </w:r>
          </w:p>
        </w:tc>
        <w:tc>
          <w:tcPr>
            <w:tcW w:w="4003" w:type="dxa"/>
            <w:shd w:val="clear" w:color="auto" w:fill="auto"/>
          </w:tcPr>
          <w:p w:rsidR="00421A64" w:rsidRPr="007654E5" w:rsidRDefault="00421A64" w:rsidP="007252F2">
            <w:pPr>
              <w:spacing w:after="0" w:line="240" w:lineRule="auto"/>
              <w:jc w:val="center"/>
              <w:rPr>
                <w:rFonts w:cs="Arial"/>
                <w:b/>
              </w:rPr>
            </w:pPr>
            <w:r>
              <w:rPr>
                <w:rFonts w:cs="Arial"/>
                <w:b/>
              </w:rPr>
              <w:t xml:space="preserve">Estimation  </w:t>
            </w:r>
          </w:p>
        </w:tc>
      </w:tr>
      <w:tr w:rsidR="00421A64" w:rsidRPr="007654E5" w:rsidTr="007252F2">
        <w:trPr>
          <w:trHeight w:val="694"/>
        </w:trPr>
        <w:tc>
          <w:tcPr>
            <w:tcW w:w="5495" w:type="dxa"/>
            <w:shd w:val="clear" w:color="auto" w:fill="auto"/>
            <w:vAlign w:val="center"/>
          </w:tcPr>
          <w:p w:rsidR="00421A64" w:rsidRPr="007654E5" w:rsidRDefault="00421A64" w:rsidP="007252F2">
            <w:r w:rsidRPr="00FA14BD">
              <w:t xml:space="preserve">Maintenance </w:t>
            </w:r>
            <w:r>
              <w:t>annuelle des défibrillateurs (vérification, entretien et formation)</w:t>
            </w:r>
          </w:p>
        </w:tc>
        <w:tc>
          <w:tcPr>
            <w:tcW w:w="4003" w:type="dxa"/>
            <w:shd w:val="clear" w:color="auto" w:fill="auto"/>
            <w:vAlign w:val="center"/>
          </w:tcPr>
          <w:p w:rsidR="00421A64" w:rsidRPr="007654E5" w:rsidRDefault="00421A64" w:rsidP="007252F2">
            <w:pPr>
              <w:spacing w:after="0" w:line="240" w:lineRule="auto"/>
              <w:jc w:val="center"/>
              <w:rPr>
                <w:rFonts w:cs="Arial"/>
              </w:rPr>
            </w:pPr>
            <w:r w:rsidRPr="00126E02">
              <w:rPr>
                <w:rFonts w:cs="Arial"/>
              </w:rPr>
              <w:t>3</w:t>
            </w:r>
            <w:r>
              <w:rPr>
                <w:rFonts w:cs="Arial"/>
              </w:rPr>
              <w:t> </w:t>
            </w:r>
            <w:r w:rsidRPr="00126E02">
              <w:rPr>
                <w:rFonts w:cs="Arial"/>
              </w:rPr>
              <w:t>000</w:t>
            </w:r>
            <w:r>
              <w:rPr>
                <w:rFonts w:cs="Arial"/>
              </w:rPr>
              <w:t>,00</w:t>
            </w:r>
            <w:r w:rsidRPr="00126E02">
              <w:rPr>
                <w:rFonts w:cs="Arial"/>
              </w:rPr>
              <w:t xml:space="preserve"> € H.T par an</w:t>
            </w:r>
            <w:r>
              <w:rPr>
                <w:rFonts w:cs="Arial"/>
              </w:rPr>
              <w:t xml:space="preserve">  </w:t>
            </w:r>
          </w:p>
        </w:tc>
      </w:tr>
    </w:tbl>
    <w:p w:rsidR="00421A64" w:rsidRPr="00FA14BD" w:rsidRDefault="00421A64" w:rsidP="00421A64"/>
    <w:p w:rsidR="00421A64" w:rsidRPr="00FA14BD" w:rsidRDefault="00421A64" w:rsidP="00421A64">
      <w:pPr>
        <w:numPr>
          <w:ilvl w:val="0"/>
          <w:numId w:val="14"/>
        </w:numPr>
        <w:spacing w:after="0" w:line="240" w:lineRule="auto"/>
        <w:rPr>
          <w:rFonts w:cs="Arial"/>
          <w:b/>
          <w:u w:val="single"/>
        </w:rPr>
      </w:pPr>
      <w:r w:rsidRPr="00FA14BD">
        <w:rPr>
          <w:rFonts w:cs="Arial"/>
          <w:b/>
          <w:u w:val="single"/>
        </w:rPr>
        <w:t>Part à prix unitaires (bons de commande)</w:t>
      </w:r>
      <w:r>
        <w:rPr>
          <w:rFonts w:cs="Arial"/>
          <w:b/>
          <w:u w:val="single"/>
        </w:rPr>
        <w:t> : Fourniture et pose des défibrillateurs (comprenant les pièces de rechanges éventuelles)</w:t>
      </w:r>
    </w:p>
    <w:p w:rsidR="00421A64" w:rsidRPr="007654E5" w:rsidRDefault="00421A64" w:rsidP="00421A64">
      <w:pPr>
        <w:spacing w:after="0" w:line="240" w:lineRule="auto"/>
        <w:rPr>
          <w:rFonts w:cs="Arial"/>
        </w:rPr>
      </w:pPr>
    </w:p>
    <w:tbl>
      <w:tblPr>
        <w:tblW w:w="94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495"/>
        <w:gridCol w:w="4003"/>
      </w:tblGrid>
      <w:tr w:rsidR="00421A64" w:rsidRPr="007654E5" w:rsidTr="007252F2">
        <w:trPr>
          <w:trHeight w:val="231"/>
        </w:trPr>
        <w:tc>
          <w:tcPr>
            <w:tcW w:w="5495" w:type="dxa"/>
            <w:shd w:val="clear" w:color="auto" w:fill="auto"/>
          </w:tcPr>
          <w:p w:rsidR="00421A64" w:rsidRPr="007654E5" w:rsidRDefault="00421A64" w:rsidP="007252F2">
            <w:pPr>
              <w:spacing w:after="0" w:line="240" w:lineRule="auto"/>
              <w:jc w:val="center"/>
              <w:rPr>
                <w:rFonts w:cs="Arial"/>
                <w:b/>
              </w:rPr>
            </w:pPr>
            <w:r w:rsidRPr="007654E5">
              <w:rPr>
                <w:rFonts w:cs="Arial"/>
                <w:b/>
              </w:rPr>
              <w:t xml:space="preserve">Désignation du lot </w:t>
            </w:r>
          </w:p>
        </w:tc>
        <w:tc>
          <w:tcPr>
            <w:tcW w:w="4003" w:type="dxa"/>
            <w:shd w:val="clear" w:color="auto" w:fill="auto"/>
          </w:tcPr>
          <w:p w:rsidR="00421A64" w:rsidRPr="007654E5" w:rsidRDefault="00421A64" w:rsidP="007252F2">
            <w:pPr>
              <w:spacing w:after="0" w:line="240" w:lineRule="auto"/>
              <w:jc w:val="center"/>
              <w:rPr>
                <w:rFonts w:cs="Arial"/>
                <w:b/>
              </w:rPr>
            </w:pPr>
            <w:r w:rsidRPr="007654E5">
              <w:rPr>
                <w:rFonts w:cs="Arial"/>
                <w:b/>
              </w:rPr>
              <w:t xml:space="preserve">Montants maximum </w:t>
            </w:r>
            <w:r>
              <w:rPr>
                <w:rFonts w:cs="Arial"/>
                <w:b/>
              </w:rPr>
              <w:t xml:space="preserve">annuel </w:t>
            </w:r>
          </w:p>
        </w:tc>
      </w:tr>
      <w:tr w:rsidR="00421A64" w:rsidRPr="007654E5" w:rsidTr="007252F2">
        <w:trPr>
          <w:trHeight w:val="694"/>
        </w:trPr>
        <w:tc>
          <w:tcPr>
            <w:tcW w:w="5495" w:type="dxa"/>
            <w:shd w:val="clear" w:color="auto" w:fill="auto"/>
            <w:vAlign w:val="center"/>
          </w:tcPr>
          <w:p w:rsidR="00421A64" w:rsidRPr="007654E5" w:rsidRDefault="00421A64" w:rsidP="007252F2">
            <w:r>
              <w:t>Fourniture et pose des défibrillateurs (comprenant les pièces de rechange éventuelles)</w:t>
            </w:r>
          </w:p>
        </w:tc>
        <w:tc>
          <w:tcPr>
            <w:tcW w:w="4003" w:type="dxa"/>
            <w:shd w:val="clear" w:color="auto" w:fill="auto"/>
            <w:vAlign w:val="center"/>
          </w:tcPr>
          <w:p w:rsidR="00421A64" w:rsidRPr="007654E5" w:rsidRDefault="00421A64" w:rsidP="007252F2">
            <w:pPr>
              <w:spacing w:after="0" w:line="240" w:lineRule="auto"/>
              <w:jc w:val="center"/>
              <w:rPr>
                <w:rFonts w:cs="Arial"/>
              </w:rPr>
            </w:pPr>
            <w:r>
              <w:rPr>
                <w:rFonts w:cs="Arial"/>
              </w:rPr>
              <w:t xml:space="preserve">5 000,00 € H.T maximum par an </w:t>
            </w:r>
          </w:p>
        </w:tc>
      </w:tr>
    </w:tbl>
    <w:p w:rsidR="00421A64" w:rsidRDefault="00421A64" w:rsidP="00D24B47">
      <w:pPr>
        <w:ind w:firstLine="708"/>
        <w:rPr>
          <w:b/>
          <w:lang w:eastAsia="ar-SA"/>
        </w:rPr>
      </w:pPr>
    </w:p>
    <w:p w:rsidR="00D24B47" w:rsidRDefault="00D24B47" w:rsidP="00D24B47">
      <w:pPr>
        <w:ind w:firstLine="708"/>
        <w:rPr>
          <w:lang w:eastAsia="ar-SA"/>
        </w:rPr>
      </w:pPr>
      <w:r w:rsidRPr="00D24B47">
        <w:rPr>
          <w:b/>
          <w:lang w:eastAsia="ar-SA"/>
        </w:rPr>
        <w:t>Tranche</w:t>
      </w:r>
      <w:r>
        <w:rPr>
          <w:lang w:eastAsia="ar-SA"/>
        </w:rPr>
        <w:t xml:space="preserve"> : sans objet. </w:t>
      </w:r>
    </w:p>
    <w:p w:rsidR="0013528C" w:rsidRDefault="0013528C" w:rsidP="0013528C">
      <w:pPr>
        <w:rPr>
          <w:lang w:eastAsia="ar-SA"/>
        </w:rPr>
      </w:pPr>
      <w:r>
        <w:rPr>
          <w:lang w:eastAsia="ar-SA"/>
        </w:rPr>
        <w:tab/>
      </w:r>
      <w:r w:rsidRPr="0013528C">
        <w:rPr>
          <w:b/>
          <w:lang w:eastAsia="ar-SA"/>
        </w:rPr>
        <w:t>Variantes</w:t>
      </w:r>
      <w:r>
        <w:rPr>
          <w:lang w:eastAsia="ar-SA"/>
        </w:rPr>
        <w:t xml:space="preserve"> : les variantes ne sont pas autorisées. </w:t>
      </w:r>
    </w:p>
    <w:p w:rsidR="0013528C" w:rsidRDefault="0013528C" w:rsidP="0013528C">
      <w:pPr>
        <w:rPr>
          <w:lang w:eastAsia="ar-SA"/>
        </w:rPr>
      </w:pPr>
      <w:r>
        <w:rPr>
          <w:lang w:eastAsia="ar-SA"/>
        </w:rPr>
        <w:tab/>
      </w:r>
      <w:r w:rsidRPr="0013528C">
        <w:rPr>
          <w:b/>
          <w:lang w:eastAsia="ar-SA"/>
        </w:rPr>
        <w:t>Prestations supplémentaires éventuelles</w:t>
      </w:r>
      <w:r>
        <w:rPr>
          <w:lang w:eastAsia="ar-SA"/>
        </w:rPr>
        <w:t xml:space="preserve"> : aucune. </w:t>
      </w:r>
    </w:p>
    <w:p w:rsidR="00D24B47" w:rsidRDefault="00D24B47" w:rsidP="00126C0E">
      <w:pPr>
        <w:pStyle w:val="Titre1"/>
        <w:rPr>
          <w:szCs w:val="22"/>
        </w:rPr>
      </w:pPr>
      <w:bookmarkStart w:id="7" w:name="_Toc184896390"/>
      <w:r>
        <w:t>ARTICLE 5</w:t>
      </w:r>
      <w:r w:rsidR="00614EAB">
        <w:t xml:space="preserve"> : DUREE </w:t>
      </w:r>
      <w:r w:rsidR="001509FF">
        <w:t>DE L’ACCORD-CADRE</w:t>
      </w:r>
      <w:r w:rsidR="00C305B8">
        <w:t xml:space="preserve"> ET FORME DE LA </w:t>
      </w:r>
      <w:r w:rsidR="00126C0E">
        <w:t>NOTIFICATION</w:t>
      </w:r>
      <w:bookmarkEnd w:id="7"/>
      <w:r w:rsidR="00614EAB">
        <w:t xml:space="preserve"> </w:t>
      </w:r>
    </w:p>
    <w:p w:rsidR="00C305B8" w:rsidRDefault="00D24B47" w:rsidP="00C305B8">
      <w:pPr>
        <w:pStyle w:val="Titre2"/>
      </w:pPr>
      <w:r>
        <w:br/>
      </w:r>
      <w:bookmarkStart w:id="8" w:name="_Toc184896391"/>
      <w:r w:rsidR="00C305B8">
        <w:t>5.1 Durée de l’accord-cadre</w:t>
      </w:r>
      <w:bookmarkEnd w:id="8"/>
      <w:r w:rsidR="00C305B8">
        <w:t xml:space="preserve"> </w:t>
      </w:r>
      <w:r w:rsidR="00E318D3">
        <w:t>et délais</w:t>
      </w:r>
    </w:p>
    <w:p w:rsidR="00421A64" w:rsidRPr="007C223A" w:rsidRDefault="001A1E11" w:rsidP="00421A64">
      <w:pPr>
        <w:spacing w:after="0" w:line="240" w:lineRule="auto"/>
      </w:pPr>
      <w:r>
        <w:rPr>
          <w:rFonts w:eastAsia="Times New Roman" w:cs="Arial"/>
          <w:lang w:eastAsia="ar-SA"/>
        </w:rPr>
        <w:br/>
      </w:r>
      <w:r w:rsidR="00421A64" w:rsidRPr="00765D82">
        <w:rPr>
          <w:rFonts w:eastAsia="Times New Roman" w:cs="Arial"/>
          <w:lang w:eastAsia="ar-SA"/>
        </w:rPr>
        <w:t>Le marché public est conclu pour</w:t>
      </w:r>
      <w:r w:rsidR="00421A64">
        <w:rPr>
          <w:rFonts w:eastAsia="Times New Roman" w:cs="Arial"/>
          <w:lang w:eastAsia="ar-SA"/>
        </w:rPr>
        <w:t xml:space="preserve"> une durée de 1 an</w:t>
      </w:r>
      <w:r w:rsidR="00421A64" w:rsidRPr="00765D82">
        <w:rPr>
          <w:rFonts w:eastAsia="Times New Roman" w:cs="Arial"/>
          <w:lang w:eastAsia="ar-SA"/>
        </w:rPr>
        <w:t xml:space="preserve"> à compter de sa date de notification au titulaire. </w:t>
      </w:r>
      <w:r w:rsidR="00421A64">
        <w:t>Le marché est reconductible 3</w:t>
      </w:r>
      <w:r w:rsidR="00421A64" w:rsidRPr="00765D82">
        <w:t xml:space="preserve"> fois pour une nouvelle période d’un an de </w:t>
      </w:r>
      <w:r w:rsidR="00421A64" w:rsidRPr="00765D82">
        <w:rPr>
          <w:u w:val="single"/>
        </w:rPr>
        <w:t>manière tacite</w:t>
      </w:r>
      <w:r w:rsidR="00421A64" w:rsidRPr="00765D82">
        <w:t>.</w:t>
      </w:r>
      <w:r w:rsidR="00421A64" w:rsidRPr="007C223A">
        <w:t xml:space="preserve"> </w:t>
      </w:r>
    </w:p>
    <w:p w:rsidR="00421A64" w:rsidRPr="007654E5" w:rsidRDefault="00421A64" w:rsidP="00421A64">
      <w:pPr>
        <w:spacing w:after="0" w:line="240" w:lineRule="auto"/>
      </w:pPr>
    </w:p>
    <w:p w:rsidR="00421A64" w:rsidRDefault="00421A64" w:rsidP="00421A64">
      <w:pPr>
        <w:suppressAutoHyphens/>
        <w:overflowPunct w:val="0"/>
        <w:autoSpaceDE w:val="0"/>
        <w:spacing w:after="0" w:line="240" w:lineRule="auto"/>
        <w:textAlignment w:val="baseline"/>
        <w:rPr>
          <w:rFonts w:eastAsia="Times New Roman" w:cs="Arial"/>
          <w:lang w:eastAsia="ar-SA"/>
        </w:rPr>
      </w:pPr>
      <w:r w:rsidRPr="007654E5">
        <w:rPr>
          <w:rFonts w:eastAsia="Times New Roman" w:cs="Arial"/>
          <w:lang w:eastAsia="ar-SA"/>
        </w:rPr>
        <w:t xml:space="preserve">Dans le cas où la Ville de Loos </w:t>
      </w:r>
      <w:r>
        <w:rPr>
          <w:rFonts w:eastAsia="Times New Roman" w:cs="Arial"/>
          <w:lang w:eastAsia="ar-SA"/>
        </w:rPr>
        <w:t xml:space="preserve">ne </w:t>
      </w:r>
      <w:r w:rsidRPr="007654E5">
        <w:rPr>
          <w:rFonts w:eastAsia="Times New Roman" w:cs="Arial"/>
          <w:lang w:eastAsia="ar-SA"/>
        </w:rPr>
        <w:t xml:space="preserve">souhaiterait </w:t>
      </w:r>
      <w:r>
        <w:rPr>
          <w:rFonts w:eastAsia="Times New Roman" w:cs="Arial"/>
          <w:lang w:eastAsia="ar-SA"/>
        </w:rPr>
        <w:t xml:space="preserve">pas </w:t>
      </w:r>
      <w:r w:rsidRPr="007654E5">
        <w:rPr>
          <w:rFonts w:eastAsia="Times New Roman" w:cs="Arial"/>
          <w:lang w:eastAsia="ar-SA"/>
        </w:rPr>
        <w:t>reconduire le marché, elle en informe le titulaire par lettre recommandée avec accusé de réception dans un délai de 3 mois précédant la date anniversaire de la date de notification.</w:t>
      </w:r>
    </w:p>
    <w:p w:rsidR="00421A64" w:rsidRDefault="00421A64" w:rsidP="00421A64">
      <w:pPr>
        <w:suppressAutoHyphens/>
        <w:overflowPunct w:val="0"/>
        <w:autoSpaceDE w:val="0"/>
        <w:spacing w:after="0" w:line="240" w:lineRule="auto"/>
        <w:textAlignment w:val="baseline"/>
        <w:rPr>
          <w:rFonts w:eastAsia="Times New Roman" w:cs="Arial"/>
          <w:lang w:eastAsia="ar-SA"/>
        </w:rPr>
      </w:pPr>
    </w:p>
    <w:p w:rsidR="00421A64" w:rsidRDefault="00421A64" w:rsidP="00421A64">
      <w:pPr>
        <w:autoSpaceDE w:val="0"/>
        <w:spacing w:after="0" w:line="240" w:lineRule="auto"/>
        <w:rPr>
          <w:rFonts w:ascii="Times New Roman" w:hAnsi="Times New Roman"/>
          <w:i/>
          <w:iCs/>
        </w:rPr>
      </w:pPr>
      <w:r>
        <w:rPr>
          <w:rFonts w:ascii="Times New Roman" w:hAnsi="Times New Roman"/>
          <w:b/>
          <w:bCs/>
          <w:i/>
          <w:iCs/>
          <w:color w:val="000000"/>
          <w:lang w:eastAsia="fr-FR"/>
        </w:rPr>
        <w:t xml:space="preserve">Prestations similaires : </w:t>
      </w:r>
    </w:p>
    <w:p w:rsidR="00421A64" w:rsidRPr="00765D82" w:rsidRDefault="00421A64" w:rsidP="00C512EF">
      <w:pPr>
        <w:pStyle w:val="Default"/>
        <w:jc w:val="both"/>
        <w:rPr>
          <w:rFonts w:ascii="Times New Roman" w:eastAsia="Calibri" w:hAnsi="Times New Roman" w:cs="Times New Roman"/>
          <w:i/>
          <w:iCs/>
          <w:sz w:val="22"/>
          <w:szCs w:val="22"/>
        </w:rPr>
      </w:pPr>
      <w:r>
        <w:rPr>
          <w:rFonts w:ascii="Times New Roman" w:hAnsi="Times New Roman" w:cs="Times New Roman"/>
          <w:i/>
          <w:iCs/>
        </w:rPr>
        <w:t xml:space="preserve">En application de l'article R. 2122-7 du Code de la commande publique, l’acheteur peut conclure un marché sans publicité ni mise en concurrence préalables pour la réalisation de prestations similaires à </w:t>
      </w:r>
      <w:r>
        <w:rPr>
          <w:rFonts w:ascii="Times New Roman" w:eastAsia="Calibri" w:hAnsi="Times New Roman" w:cs="Times New Roman"/>
          <w:i/>
          <w:iCs/>
          <w:sz w:val="22"/>
          <w:szCs w:val="22"/>
        </w:rPr>
        <w:t xml:space="preserve">celles de l'objet du présent marché, en accord avec le titulaire, pendant une période de trois ans à compter de la notification du marché initial. </w:t>
      </w:r>
    </w:p>
    <w:p w:rsidR="006C2A2C" w:rsidRDefault="006C2A2C" w:rsidP="00421A64">
      <w:pPr>
        <w:spacing w:after="0" w:line="240" w:lineRule="auto"/>
        <w:rPr>
          <w:rFonts w:eastAsia="Times New Roman" w:cs="Arial"/>
          <w:lang w:eastAsia="ar-SA"/>
        </w:rPr>
      </w:pPr>
    </w:p>
    <w:p w:rsidR="00873E7D" w:rsidRPr="007060F0" w:rsidRDefault="00873E7D" w:rsidP="00873E7D">
      <w:pPr>
        <w:pStyle w:val="Default"/>
        <w:jc w:val="both"/>
        <w:rPr>
          <w:rFonts w:ascii="Times New Roman" w:eastAsia="Calibri" w:hAnsi="Times New Roman" w:cs="Times New Roman"/>
          <w:b/>
          <w:i/>
          <w:iCs/>
          <w:sz w:val="22"/>
          <w:szCs w:val="22"/>
        </w:rPr>
      </w:pPr>
      <w:r w:rsidRPr="007060F0">
        <w:rPr>
          <w:rFonts w:ascii="Times New Roman" w:eastAsia="Calibri" w:hAnsi="Times New Roman" w:cs="Times New Roman"/>
          <w:b/>
          <w:i/>
          <w:iCs/>
          <w:sz w:val="22"/>
          <w:szCs w:val="22"/>
        </w:rPr>
        <w:t>Délais :</w:t>
      </w:r>
    </w:p>
    <w:p w:rsidR="00873E7D" w:rsidRPr="007060F0" w:rsidRDefault="00873E7D" w:rsidP="00873E7D">
      <w:pPr>
        <w:pStyle w:val="Default"/>
        <w:jc w:val="both"/>
        <w:rPr>
          <w:rFonts w:ascii="Times New Roman" w:eastAsia="Calibri" w:hAnsi="Times New Roman" w:cs="Times New Roman"/>
          <w:i/>
          <w:iCs/>
          <w:sz w:val="22"/>
          <w:szCs w:val="22"/>
        </w:rPr>
      </w:pPr>
    </w:p>
    <w:p w:rsidR="00873E7D" w:rsidRPr="000D60EF" w:rsidRDefault="00873E7D" w:rsidP="00873E7D">
      <w:pPr>
        <w:pStyle w:val="Default"/>
        <w:jc w:val="both"/>
        <w:rPr>
          <w:rFonts w:eastAsia="Calibri"/>
          <w:iCs/>
          <w:sz w:val="22"/>
          <w:szCs w:val="22"/>
        </w:rPr>
      </w:pPr>
      <w:r w:rsidRPr="000D60EF">
        <w:rPr>
          <w:rFonts w:eastAsia="Calibri"/>
          <w:iCs/>
          <w:sz w:val="22"/>
          <w:szCs w:val="22"/>
        </w:rPr>
        <w:t>Sauf accord exprès des services techniques :</w:t>
      </w:r>
    </w:p>
    <w:p w:rsidR="00873E7D" w:rsidRPr="000D60EF" w:rsidRDefault="00873E7D" w:rsidP="00873E7D">
      <w:pPr>
        <w:pStyle w:val="Default"/>
        <w:jc w:val="both"/>
        <w:rPr>
          <w:rFonts w:eastAsia="Calibri"/>
          <w:iCs/>
          <w:sz w:val="22"/>
          <w:szCs w:val="22"/>
        </w:rPr>
      </w:pPr>
      <w:r w:rsidRPr="000D60EF">
        <w:rPr>
          <w:rFonts w:eastAsia="Calibri"/>
          <w:iCs/>
          <w:sz w:val="22"/>
          <w:szCs w:val="22"/>
        </w:rPr>
        <w:t xml:space="preserve">-  L'entreprise dispose de 5 jours ouvrés à compter de la demande du MOA par téléphone ou par email pour fournir son devis conforme au BPU </w:t>
      </w:r>
      <w:r w:rsidR="00BF4200" w:rsidRPr="000D60EF">
        <w:rPr>
          <w:rFonts w:eastAsia="Calibri"/>
          <w:iCs/>
          <w:sz w:val="22"/>
          <w:szCs w:val="22"/>
        </w:rPr>
        <w:t xml:space="preserve">et à la DPGF </w:t>
      </w:r>
      <w:r w:rsidRPr="000D60EF">
        <w:rPr>
          <w:rFonts w:eastAsia="Calibri"/>
          <w:iCs/>
          <w:sz w:val="22"/>
          <w:szCs w:val="22"/>
        </w:rPr>
        <w:t>sur la base des éléments transmis par le MOA (compris le cas échéant un passage sur site et effectuer les relevés nécessaires)</w:t>
      </w:r>
    </w:p>
    <w:p w:rsidR="00873E7D" w:rsidRPr="000D60EF" w:rsidRDefault="00873E7D" w:rsidP="00873E7D">
      <w:pPr>
        <w:pStyle w:val="Default"/>
        <w:jc w:val="both"/>
        <w:rPr>
          <w:rFonts w:eastAsia="Calibri"/>
          <w:iCs/>
          <w:sz w:val="22"/>
          <w:szCs w:val="22"/>
        </w:rPr>
      </w:pPr>
      <w:r w:rsidRPr="000D60EF">
        <w:rPr>
          <w:rFonts w:eastAsia="Calibri"/>
          <w:iCs/>
          <w:sz w:val="22"/>
          <w:szCs w:val="22"/>
        </w:rPr>
        <w:t>-  Suite à la réception du numéro de bon de commande par téléphone ou par email, l'entrepr</w:t>
      </w:r>
      <w:r w:rsidR="00BF4200" w:rsidRPr="000D60EF">
        <w:rPr>
          <w:rFonts w:eastAsia="Calibri"/>
          <w:iCs/>
          <w:sz w:val="22"/>
          <w:szCs w:val="22"/>
        </w:rPr>
        <w:t xml:space="preserve">ise dispose des délais suivants pour intervenir </w:t>
      </w:r>
      <w:r w:rsidRPr="000D60EF">
        <w:rPr>
          <w:rFonts w:eastAsia="Calibri"/>
          <w:iCs/>
          <w:sz w:val="22"/>
          <w:szCs w:val="22"/>
        </w:rPr>
        <w:t>et transmettre les documents nécessaires à son intervention :</w:t>
      </w:r>
    </w:p>
    <w:p w:rsidR="00873E7D" w:rsidRPr="000D60EF" w:rsidRDefault="00873E7D" w:rsidP="00873E7D">
      <w:pPr>
        <w:pStyle w:val="Default"/>
        <w:jc w:val="both"/>
        <w:rPr>
          <w:rFonts w:eastAsia="Calibri"/>
          <w:iCs/>
          <w:sz w:val="22"/>
          <w:szCs w:val="22"/>
        </w:rPr>
      </w:pPr>
      <w:r w:rsidRPr="000D60EF">
        <w:rPr>
          <w:rFonts w:eastAsia="Calibri"/>
          <w:iCs/>
          <w:sz w:val="22"/>
          <w:szCs w:val="22"/>
        </w:rPr>
        <w:t>- 5 jours ouvrés pour une intervention de moins de 1500 €</w:t>
      </w:r>
    </w:p>
    <w:p w:rsidR="00873E7D" w:rsidRPr="000D60EF" w:rsidRDefault="00873E7D" w:rsidP="00873E7D">
      <w:pPr>
        <w:pStyle w:val="Default"/>
        <w:jc w:val="both"/>
        <w:rPr>
          <w:rFonts w:eastAsia="Calibri"/>
          <w:iCs/>
          <w:sz w:val="22"/>
          <w:szCs w:val="22"/>
        </w:rPr>
      </w:pPr>
      <w:r w:rsidRPr="000D60EF">
        <w:rPr>
          <w:rFonts w:eastAsia="Calibri"/>
          <w:iCs/>
          <w:sz w:val="22"/>
          <w:szCs w:val="22"/>
        </w:rPr>
        <w:t>- 10 jours pour une intervention de plus de 1500 € HT et de moins de 5 000 € HT</w:t>
      </w:r>
    </w:p>
    <w:p w:rsidR="00873E7D" w:rsidRPr="000D60EF" w:rsidRDefault="00873E7D" w:rsidP="00873E7D">
      <w:pPr>
        <w:spacing w:after="0" w:line="240" w:lineRule="auto"/>
        <w:rPr>
          <w:rFonts w:eastAsia="Calibri" w:cs="Arial"/>
        </w:rPr>
      </w:pPr>
      <w:r w:rsidRPr="000D60EF">
        <w:rPr>
          <w:rFonts w:eastAsia="Calibri" w:cs="Arial"/>
        </w:rPr>
        <w:t>- 15 jours ouvrés pour une intervention de plus de 5 000 € HT</w:t>
      </w:r>
    </w:p>
    <w:p w:rsidR="00873E7D" w:rsidRPr="000D60EF" w:rsidRDefault="00873E7D" w:rsidP="00873E7D">
      <w:pPr>
        <w:spacing w:after="0" w:line="240" w:lineRule="auto"/>
        <w:rPr>
          <w:rFonts w:eastAsia="Calibri" w:cs="Arial"/>
        </w:rPr>
      </w:pPr>
    </w:p>
    <w:p w:rsidR="00873E7D" w:rsidRPr="000D60EF" w:rsidRDefault="00873E7D" w:rsidP="00873E7D">
      <w:pPr>
        <w:spacing w:after="0" w:line="240" w:lineRule="auto"/>
        <w:rPr>
          <w:rFonts w:eastAsia="Calibri" w:cs="Arial"/>
        </w:rPr>
      </w:pPr>
      <w:r w:rsidRPr="000D60EF">
        <w:rPr>
          <w:rFonts w:eastAsia="Calibri" w:cs="Arial"/>
        </w:rPr>
        <w:t xml:space="preserve">Sauf demande contraire </w:t>
      </w:r>
      <w:r w:rsidR="003044B7" w:rsidRPr="000D60EF">
        <w:rPr>
          <w:rFonts w:eastAsia="Calibri" w:cs="Arial"/>
        </w:rPr>
        <w:t>du maître d'ouvrage, les interventions</w:t>
      </w:r>
      <w:r w:rsidRPr="000D60EF">
        <w:rPr>
          <w:rFonts w:eastAsia="Calibri" w:cs="Arial"/>
        </w:rPr>
        <w:t xml:space="preserve"> démarrent à l'issue de ces délais</w:t>
      </w:r>
    </w:p>
    <w:p w:rsidR="00873E7D" w:rsidRPr="007060F0" w:rsidRDefault="00873E7D" w:rsidP="00873E7D">
      <w:pPr>
        <w:spacing w:after="0" w:line="240" w:lineRule="auto"/>
        <w:rPr>
          <w:rFonts w:eastAsia="Calibri" w:cs="Arial"/>
        </w:rPr>
      </w:pPr>
      <w:r w:rsidRPr="000D60EF">
        <w:rPr>
          <w:rFonts w:eastAsia="Calibri" w:cs="Arial"/>
        </w:rPr>
        <w:t xml:space="preserve">  -  Le délai d'intervention contractuel pour chaque bon de commande sera définit en accord entre l'entreprise et l'ingénieur en charge de l'opération aux Services Techniques.</w:t>
      </w:r>
    </w:p>
    <w:p w:rsidR="007060F0" w:rsidRDefault="007060F0" w:rsidP="006C2A2C">
      <w:pPr>
        <w:spacing w:after="0" w:line="240" w:lineRule="auto"/>
        <w:rPr>
          <w:rFonts w:eastAsia="Calibri"/>
        </w:rPr>
      </w:pPr>
    </w:p>
    <w:p w:rsidR="00C305B8" w:rsidRDefault="00C305B8" w:rsidP="00EE13F5">
      <w:pPr>
        <w:pStyle w:val="Titre2"/>
        <w:rPr>
          <w:rFonts w:eastAsia="Calibri"/>
        </w:rPr>
      </w:pPr>
      <w:bookmarkStart w:id="9" w:name="_Toc184896392"/>
      <w:r>
        <w:rPr>
          <w:rFonts w:eastAsia="Calibri"/>
        </w:rPr>
        <w:t>5.2 Forme de la notification</w:t>
      </w:r>
      <w:bookmarkEnd w:id="9"/>
      <w:r>
        <w:rPr>
          <w:rFonts w:eastAsia="Calibri"/>
        </w:rPr>
        <w:t xml:space="preserve"> </w:t>
      </w:r>
    </w:p>
    <w:p w:rsidR="00C305B8" w:rsidRDefault="00C305B8" w:rsidP="00614EAB">
      <w:pPr>
        <w:spacing w:after="0" w:line="240" w:lineRule="auto"/>
        <w:rPr>
          <w:rFonts w:eastAsia="Calibri" w:cs="Arial"/>
        </w:rPr>
      </w:pPr>
    </w:p>
    <w:p w:rsidR="00FC4339" w:rsidRDefault="00614EAB" w:rsidP="00D937C2">
      <w:pPr>
        <w:spacing w:after="0" w:line="240" w:lineRule="auto"/>
        <w:rPr>
          <w:rFonts w:eastAsia="Calibri" w:cs="Arial"/>
        </w:rPr>
      </w:pPr>
      <w:r w:rsidRPr="00866697">
        <w:rPr>
          <w:rFonts w:eastAsia="Calibri" w:cs="Arial"/>
        </w:rPr>
        <w:t xml:space="preserve">Par dérogation à l’article 4.2 du CCAG </w:t>
      </w:r>
      <w:r>
        <w:rPr>
          <w:rFonts w:eastAsia="Calibri" w:cs="Arial"/>
        </w:rPr>
        <w:t>FCS</w:t>
      </w:r>
      <w:r w:rsidRPr="00866697">
        <w:rPr>
          <w:rFonts w:eastAsia="Calibri" w:cs="Arial"/>
        </w:rPr>
        <w:t xml:space="preserve">, seule une copie de l’acte d’engagement est délivrée lors de la notification. Conformément à l’article 3.1 du CCAG </w:t>
      </w:r>
      <w:r>
        <w:rPr>
          <w:rFonts w:eastAsia="Calibri" w:cs="Arial"/>
        </w:rPr>
        <w:t>FCS</w:t>
      </w:r>
      <w:r w:rsidRPr="00866697">
        <w:rPr>
          <w:rFonts w:eastAsia="Calibri" w:cs="Arial"/>
        </w:rPr>
        <w:t>, la notification sera effectuée par courrier électronique via la plateforme d’acheteur qui permettra d’attester la date de la réception de la décision.</w:t>
      </w:r>
    </w:p>
    <w:p w:rsidR="00E46DA2" w:rsidRPr="00D937C2" w:rsidRDefault="00E46DA2" w:rsidP="00D937C2">
      <w:pPr>
        <w:spacing w:after="0" w:line="240" w:lineRule="auto"/>
        <w:rPr>
          <w:rFonts w:eastAsia="Calibri" w:cs="Arial"/>
        </w:rPr>
      </w:pPr>
    </w:p>
    <w:p w:rsidR="00126C0E" w:rsidRDefault="00126C0E" w:rsidP="00126C0E">
      <w:pPr>
        <w:pStyle w:val="Titre1"/>
        <w:jc w:val="left"/>
        <w:rPr>
          <w:rFonts w:eastAsia="Times New Roman"/>
          <w:lang w:eastAsia="ar-SA"/>
        </w:rPr>
      </w:pPr>
      <w:bookmarkStart w:id="10" w:name="_Toc184896393"/>
      <w:r w:rsidRPr="00126C0E">
        <w:rPr>
          <w:rFonts w:eastAsia="Times New Roman"/>
          <w:lang w:eastAsia="ar-SA"/>
        </w:rPr>
        <w:t>ARTICLE 6 : MONTANTS D</w:t>
      </w:r>
      <w:r w:rsidR="001509FF">
        <w:rPr>
          <w:rFonts w:eastAsia="Times New Roman"/>
          <w:lang w:eastAsia="ar-SA"/>
        </w:rPr>
        <w:t>E L’ACCORD-CADRE</w:t>
      </w:r>
      <w:bookmarkEnd w:id="10"/>
      <w:r w:rsidR="001509FF">
        <w:rPr>
          <w:rFonts w:eastAsia="Times New Roman"/>
          <w:lang w:eastAsia="ar-SA"/>
        </w:rPr>
        <w:t xml:space="preserve"> </w:t>
      </w:r>
    </w:p>
    <w:p w:rsidR="00EE13F5" w:rsidRDefault="00EE13F5" w:rsidP="00EE13F5">
      <w:pPr>
        <w:spacing w:after="0" w:line="240" w:lineRule="auto"/>
        <w:rPr>
          <w:lang w:eastAsia="ar-SA"/>
        </w:rPr>
      </w:pPr>
    </w:p>
    <w:p w:rsidR="00EE13F5" w:rsidRPr="00A81D7B" w:rsidRDefault="00A81D7B" w:rsidP="00EE13F5">
      <w:pPr>
        <w:spacing w:after="0" w:line="240" w:lineRule="auto"/>
        <w:rPr>
          <w:rFonts w:eastAsia="Calibri" w:cs="Arial"/>
          <w:b/>
        </w:rPr>
      </w:pPr>
      <w:r w:rsidRPr="00A81D7B">
        <w:rPr>
          <w:rFonts w:eastAsia="Calibri" w:cs="Arial"/>
          <w:b/>
        </w:rPr>
        <w:t xml:space="preserve">Le marché public est conclu à prix mixte. </w:t>
      </w:r>
    </w:p>
    <w:p w:rsidR="00EE13F5" w:rsidRDefault="00EE13F5" w:rsidP="00EE13F5">
      <w:pPr>
        <w:rPr>
          <w:lang w:eastAsia="ar-SA"/>
        </w:rPr>
      </w:pPr>
    </w:p>
    <w:p w:rsidR="00EE13F5" w:rsidRDefault="00EE13F5" w:rsidP="00EE13F5">
      <w:pPr>
        <w:pStyle w:val="Titre2"/>
        <w:rPr>
          <w:lang w:eastAsia="ar-SA"/>
        </w:rPr>
      </w:pPr>
      <w:bookmarkStart w:id="11" w:name="_Toc184896394"/>
      <w:r>
        <w:rPr>
          <w:lang w:eastAsia="ar-SA"/>
        </w:rPr>
        <w:t xml:space="preserve">6.1 Part forfaitaire </w:t>
      </w:r>
      <w:bookmarkEnd w:id="11"/>
      <w:r>
        <w:rPr>
          <w:lang w:eastAsia="ar-SA"/>
        </w:rPr>
        <w:t xml:space="preserve"> </w:t>
      </w:r>
    </w:p>
    <w:p w:rsidR="00EE13F5" w:rsidRDefault="00EE13F5" w:rsidP="00EE13F5">
      <w:pPr>
        <w:rPr>
          <w:lang w:eastAsia="ar-SA"/>
        </w:rPr>
      </w:pPr>
      <w:r>
        <w:rPr>
          <w:noProof/>
          <w:lang w:eastAsia="fr-FR"/>
        </w:rPr>
        <mc:AlternateContent>
          <mc:Choice Requires="wps">
            <w:drawing>
              <wp:anchor distT="45720" distB="45720" distL="114300" distR="114300" simplePos="0" relativeHeight="251659264" behindDoc="0" locked="0" layoutInCell="1" allowOverlap="1" wp14:anchorId="1FDC3B7F" wp14:editId="5EE33FBE">
                <wp:simplePos x="0" y="0"/>
                <wp:positionH relativeFrom="column">
                  <wp:posOffset>1214755</wp:posOffset>
                </wp:positionH>
                <wp:positionV relativeFrom="paragraph">
                  <wp:posOffset>266700</wp:posOffset>
                </wp:positionV>
                <wp:extent cx="3505200" cy="552450"/>
                <wp:effectExtent l="0" t="0" r="19050" b="1905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52450"/>
                        </a:xfrm>
                        <a:prstGeom prst="rect">
                          <a:avLst/>
                        </a:prstGeom>
                        <a:solidFill>
                          <a:srgbClr val="FFFFFF"/>
                        </a:solidFill>
                        <a:ln w="19050">
                          <a:solidFill>
                            <a:sysClr val="windowText" lastClr="000000"/>
                          </a:solidFill>
                          <a:miter lim="800000"/>
                          <a:headEnd/>
                          <a:tailEnd/>
                        </a:ln>
                      </wps:spPr>
                      <wps:txbx>
                        <w:txbxContent>
                          <w:p w:rsidR="00600DCA" w:rsidRPr="00EE13F5" w:rsidRDefault="00600DCA" w:rsidP="00EE13F5">
                            <w:pPr>
                              <w:jc w:val="center"/>
                              <w:rPr>
                                <w:i/>
                              </w:rPr>
                            </w:pPr>
                            <w:r w:rsidRPr="00EE13F5">
                              <w:rPr>
                                <w:i/>
                              </w:rPr>
                              <w:t xml:space="preserve">A remplir par le candidat </w:t>
                            </w:r>
                          </w:p>
                          <w:p w:rsidR="00600DCA" w:rsidRDefault="00600DCA" w:rsidP="00EE13F5">
                            <w:pPr>
                              <w:jc w:val="center"/>
                            </w:pPr>
                            <w:r>
                              <w:t xml:space="preserve">________________________€ H.T par an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C3B7F" id="_x0000_t202" coordsize="21600,21600" o:spt="202" path="m,l,21600r21600,l21600,xe">
                <v:stroke joinstyle="miter"/>
                <v:path gradientshapeok="t" o:connecttype="rect"/>
              </v:shapetype>
              <v:shape id="Zone de texte 3" o:spid="_x0000_s1027" type="#_x0000_t202" style="position:absolute;left:0;text-align:left;margin-left:95.65pt;margin-top:21pt;width:276pt;height:4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AXCOAIAAGUEAAAOAAAAZHJzL2Uyb0RvYy54bWysVE1v2zAMvQ/YfxB0X+x8ba0Rp+jSZRjQ&#10;fQDtLrsxkhwLk0VPUmKnv36UnGRBu9MwHwRRpJ7I90gvbvrGsL1yXqMt+XiUc6asQKnttuTfH9dv&#10;rjjzAawEg1aV/KA8v1m+frXo2kJNsEYjlWMEYn3RtSWvQ2iLLPOiVg34EbbKkrNC10Ag020z6aAj&#10;9MZkkzx/m3XoZOtQKO/p9G5w8mXCryolwteq8iowU3LKLaTVpXUT12y5gGLroK21OKYB/5BFA9rS&#10;o2eoOwjAdk6/gGq0cOixCiOBTYZVpYVKNVA14/xZNQ81tCrVQuT49kyT/3+w4sv+m2NalnzKmYWG&#10;JPpBQjGpWFB9UGwaKepaX1DkQ0uxoX+PPUmdyvXtPYqfnllc1WC36tY57GoFklIcx5vZxdUBx0eQ&#10;TfcZJb0Fu4AJqK9cE/kjRhihk1SHszyUBxN0OJ3nc9KcM0G++Xwymyf9MihOt1vnw0eFDYubkjuS&#10;P6HD/t6HmA0Up5D4mEej5Vobkwy33ayMY3ugVlmnLxXwLMxY1lFt1zk9/hLj4M8Q1KQSu0dKnjMD&#10;PpCDKkrf33AbHWgQjG5KfnUOgiJy+cHK1KYBtBn2VIexR3IjnwOzod/0ScrJSbMNygOx7XDoe5pT&#10;2tTonjjrqOdL7n/twClK8JMlxa7Hs1kckmTM5u8mZLhLz+bSA1YQVMmpvmG7CmmwIisWb0nZSifS&#10;YwsMmRxTpl5OWhznLg7LpZ2i/vwdlr8BAAD//wMAUEsDBBQABgAIAAAAIQBUNRvw4AAAAAoBAAAP&#10;AAAAZHJzL2Rvd25yZXYueG1sTI9PS8NAEMXvgt9hGcGb3TQNxsZsihRED4JYRa/TZJpE90/Y3bYx&#10;n77Tkx7fvMeb3ytXo9HiQD70ziqYzxIQZGvX9LZV8PH+eHMHIkS0DWpnScEvBVhVlxclFo072jc6&#10;bGIruMSGAhV0MQ6FlKHuyGCYuYEsezvnDUaWvpWNxyOXGy3TJLmVBnvLHzocaN1R/bPZGwXfX356&#10;es7zrMZpennV63TXfhqlrq/Gh3sQkcb4F4YzPqNDxUxbt7dNEJr1cr7gqIIs5U0cyLMFH7bspMsE&#10;ZFXK/xOqEwAAAP//AwBQSwECLQAUAAYACAAAACEAtoM4kv4AAADhAQAAEwAAAAAAAAAAAAAAAAAA&#10;AAAAW0NvbnRlbnRfVHlwZXNdLnhtbFBLAQItABQABgAIAAAAIQA4/SH/1gAAAJQBAAALAAAAAAAA&#10;AAAAAAAAAC8BAABfcmVscy8ucmVsc1BLAQItABQABgAIAAAAIQCp8AXCOAIAAGUEAAAOAAAAAAAA&#10;AAAAAAAAAC4CAABkcnMvZTJvRG9jLnhtbFBLAQItABQABgAIAAAAIQBUNRvw4AAAAAoBAAAPAAAA&#10;AAAAAAAAAAAAAJIEAABkcnMvZG93bnJldi54bWxQSwUGAAAAAAQABADzAAAAnwUAAAAA&#10;" strokecolor="windowText" strokeweight="1.5pt">
                <v:textbox>
                  <w:txbxContent>
                    <w:p w:rsidR="00600DCA" w:rsidRPr="00EE13F5" w:rsidRDefault="00600DCA" w:rsidP="00EE13F5">
                      <w:pPr>
                        <w:jc w:val="center"/>
                        <w:rPr>
                          <w:i/>
                        </w:rPr>
                      </w:pPr>
                      <w:r w:rsidRPr="00EE13F5">
                        <w:rPr>
                          <w:i/>
                        </w:rPr>
                        <w:t xml:space="preserve">A remplir par le candidat </w:t>
                      </w:r>
                    </w:p>
                    <w:p w:rsidR="00600DCA" w:rsidRDefault="00600DCA" w:rsidP="00EE13F5">
                      <w:pPr>
                        <w:jc w:val="center"/>
                      </w:pPr>
                      <w:r>
                        <w:t xml:space="preserve">________________________€ H.T par an </w:t>
                      </w:r>
                    </w:p>
                  </w:txbxContent>
                </v:textbox>
                <w10:wrap type="square"/>
              </v:shape>
            </w:pict>
          </mc:Fallback>
        </mc:AlternateContent>
      </w:r>
    </w:p>
    <w:p w:rsidR="00EE13F5" w:rsidRDefault="00EE13F5" w:rsidP="00EE13F5">
      <w:pPr>
        <w:rPr>
          <w:lang w:eastAsia="ar-SA"/>
        </w:rPr>
      </w:pPr>
    </w:p>
    <w:p w:rsidR="00EE13F5" w:rsidRDefault="00EE13F5" w:rsidP="00560985">
      <w:pPr>
        <w:pStyle w:val="Titre2"/>
        <w:rPr>
          <w:rFonts w:eastAsiaTheme="minorHAnsi" w:cstheme="minorBidi"/>
          <w:b w:val="0"/>
          <w:szCs w:val="22"/>
          <w:lang w:eastAsia="ar-SA"/>
        </w:rPr>
      </w:pPr>
    </w:p>
    <w:p w:rsidR="00EE13F5" w:rsidRDefault="00EE13F5" w:rsidP="00560985">
      <w:pPr>
        <w:pStyle w:val="Titre2"/>
        <w:rPr>
          <w:rFonts w:eastAsiaTheme="minorHAnsi" w:cstheme="minorBidi"/>
          <w:b w:val="0"/>
          <w:szCs w:val="22"/>
          <w:lang w:eastAsia="ar-SA"/>
        </w:rPr>
      </w:pPr>
    </w:p>
    <w:p w:rsidR="00560985" w:rsidRDefault="00560985" w:rsidP="00560985">
      <w:pPr>
        <w:pStyle w:val="Titre2"/>
        <w:rPr>
          <w:lang w:eastAsia="ar-SA"/>
        </w:rPr>
      </w:pPr>
      <w:r>
        <w:rPr>
          <w:lang w:eastAsia="ar-SA"/>
        </w:rPr>
        <w:br/>
      </w:r>
      <w:bookmarkStart w:id="12" w:name="_Toc184896395"/>
      <w:r w:rsidR="00EE13F5">
        <w:rPr>
          <w:lang w:eastAsia="ar-SA"/>
        </w:rPr>
        <w:t>6.2</w:t>
      </w:r>
      <w:r>
        <w:rPr>
          <w:lang w:eastAsia="ar-SA"/>
        </w:rPr>
        <w:t xml:space="preserve"> Minimum et maximum de </w:t>
      </w:r>
      <w:r w:rsidR="00893ADB">
        <w:rPr>
          <w:lang w:eastAsia="ar-SA"/>
        </w:rPr>
        <w:t>la partie à bons de commande</w:t>
      </w:r>
      <w:bookmarkEnd w:id="12"/>
      <w:r w:rsidR="00893ADB">
        <w:rPr>
          <w:lang w:eastAsia="ar-SA"/>
        </w:rPr>
        <w:t xml:space="preserve"> </w:t>
      </w:r>
    </w:p>
    <w:p w:rsidR="005C1E92" w:rsidRDefault="00275BDC" w:rsidP="00275BDC">
      <w:pPr>
        <w:rPr>
          <w:lang w:eastAsia="ar-SA"/>
        </w:rPr>
      </w:pPr>
      <w:r>
        <w:rPr>
          <w:lang w:eastAsia="ar-SA"/>
        </w:rPr>
        <w:br/>
      </w:r>
      <w:r w:rsidR="0013528C">
        <w:rPr>
          <w:lang w:eastAsia="ar-SA"/>
        </w:rPr>
        <w:t xml:space="preserve">Le marché public </w:t>
      </w:r>
      <w:r w:rsidR="00893ADB">
        <w:rPr>
          <w:lang w:eastAsia="ar-SA"/>
        </w:rPr>
        <w:t xml:space="preserve">comprend une partie à bons de commande qui sera exécutée sous la forme d’un accord-cadre à bons de commande </w:t>
      </w:r>
      <w:r w:rsidR="001A1E11">
        <w:rPr>
          <w:lang w:eastAsia="ar-SA"/>
        </w:rPr>
        <w:t>mono-attributaire</w:t>
      </w:r>
      <w:r>
        <w:rPr>
          <w:lang w:eastAsia="ar-SA"/>
        </w:rPr>
        <w:t xml:space="preserve"> conclu selon les minimum et maximum suivants : </w:t>
      </w:r>
    </w:p>
    <w:p w:rsidR="00FC4339" w:rsidRDefault="0013528C" w:rsidP="00FC43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lang w:eastAsia="ar-SA"/>
        </w:rPr>
      </w:pPr>
      <w:r>
        <w:rPr>
          <w:lang w:eastAsia="ar-SA"/>
        </w:rPr>
        <w:t>Le marché est conclu sans montant minimum.</w:t>
      </w:r>
    </w:p>
    <w:p w:rsidR="00560985" w:rsidRPr="009B64DB" w:rsidRDefault="0013528C" w:rsidP="0056098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eastAsia="ar-SA"/>
        </w:rPr>
      </w:pPr>
      <w:r w:rsidRPr="00614EAB">
        <w:rPr>
          <w:b/>
          <w:u w:val="single"/>
          <w:lang w:eastAsia="ar-SA"/>
        </w:rPr>
        <w:t xml:space="preserve">Le montant maximum </w:t>
      </w:r>
      <w:r w:rsidRPr="00BB4659">
        <w:rPr>
          <w:b/>
          <w:u w:val="single"/>
          <w:lang w:eastAsia="ar-SA"/>
        </w:rPr>
        <w:t>annuel est de</w:t>
      </w:r>
      <w:r w:rsidR="002D37E2">
        <w:rPr>
          <w:b/>
          <w:u w:val="single"/>
          <w:lang w:eastAsia="ar-SA"/>
        </w:rPr>
        <w:t> </w:t>
      </w:r>
      <w:r w:rsidR="00421A64">
        <w:rPr>
          <w:b/>
          <w:u w:val="single"/>
          <w:lang w:eastAsia="ar-SA"/>
        </w:rPr>
        <w:t xml:space="preserve">5 000,00 </w:t>
      </w:r>
      <w:r w:rsidR="0074395B" w:rsidRPr="00BB4659">
        <w:rPr>
          <w:b/>
          <w:u w:val="single"/>
          <w:lang w:eastAsia="ar-SA"/>
        </w:rPr>
        <w:t>€ HT</w:t>
      </w:r>
      <w:r w:rsidR="0074395B" w:rsidRPr="00BB4659">
        <w:rPr>
          <w:b/>
          <w:lang w:eastAsia="ar-SA"/>
        </w:rPr>
        <w:t xml:space="preserve"> </w:t>
      </w:r>
      <w:r w:rsidR="00560985">
        <w:rPr>
          <w:b/>
          <w:lang w:eastAsia="ar-SA"/>
        </w:rPr>
        <w:br/>
      </w:r>
    </w:p>
    <w:p w:rsidR="00560985" w:rsidRDefault="00893ADB" w:rsidP="00560985">
      <w:pPr>
        <w:pStyle w:val="Titre2"/>
      </w:pPr>
      <w:bookmarkStart w:id="13" w:name="_Toc184896396"/>
      <w:r>
        <w:t>6.3</w:t>
      </w:r>
      <w:r w:rsidR="00560985">
        <w:t xml:space="preserve"> Information</w:t>
      </w:r>
      <w:r w:rsidR="00F44AC2">
        <w:t>s relatives aux commandes hors Bordereau des Prix U</w:t>
      </w:r>
      <w:r w:rsidR="00560985">
        <w:t>nitaires et aux offres promotionnelles</w:t>
      </w:r>
      <w:bookmarkEnd w:id="13"/>
      <w:r w:rsidR="00560985">
        <w:t xml:space="preserve"> </w:t>
      </w:r>
    </w:p>
    <w:p w:rsidR="00560985" w:rsidRDefault="00560985" w:rsidP="00614EAB">
      <w:pPr>
        <w:pStyle w:val="fcase1ertab"/>
        <w:ind w:left="0" w:firstLine="0"/>
        <w:rPr>
          <w:rFonts w:ascii="Arial" w:hAnsi="Arial" w:cs="Arial"/>
          <w:sz w:val="22"/>
          <w:szCs w:val="22"/>
          <w:u w:val="single"/>
        </w:rPr>
      </w:pPr>
    </w:p>
    <w:p w:rsidR="00614EAB" w:rsidRDefault="00614EAB" w:rsidP="00C512EF">
      <w:pPr>
        <w:pStyle w:val="fcase1ertab"/>
        <w:ind w:left="0" w:firstLine="0"/>
        <w:rPr>
          <w:rFonts w:ascii="Arial" w:hAnsi="Arial" w:cs="Arial"/>
          <w:sz w:val="22"/>
          <w:szCs w:val="22"/>
        </w:rPr>
      </w:pPr>
      <w:r>
        <w:rPr>
          <w:rFonts w:ascii="Arial" w:hAnsi="Arial" w:cs="Arial"/>
          <w:sz w:val="22"/>
          <w:szCs w:val="22"/>
          <w:u w:val="single"/>
        </w:rPr>
        <w:t>Le Bordereau de Prix Unitaires est à compléter dans son intégralité, à dater et signer.</w:t>
      </w:r>
    </w:p>
    <w:p w:rsidR="00614EAB" w:rsidRPr="002916EE" w:rsidRDefault="00614EAB" w:rsidP="00C512EF">
      <w:pPr>
        <w:pStyle w:val="fcase1ertab"/>
        <w:ind w:left="0" w:firstLine="0"/>
        <w:rPr>
          <w:rFonts w:ascii="Arial" w:hAnsi="Arial" w:cs="Arial"/>
          <w:sz w:val="22"/>
          <w:szCs w:val="22"/>
        </w:rPr>
      </w:pPr>
      <w:r>
        <w:rPr>
          <w:rFonts w:ascii="Arial" w:hAnsi="Arial" w:cs="Arial"/>
          <w:sz w:val="22"/>
          <w:szCs w:val="22"/>
        </w:rPr>
        <w:t>Le bordereau de prix n'est pas exhaustif, il pourra être fait appel à d'autres prestations liées à l’objet du marché via le catalogue, la liste tarifaire du titulaire ou tout devis.</w:t>
      </w:r>
      <w:r w:rsidR="002916EE" w:rsidRPr="002916EE">
        <w:t xml:space="preserve"> </w:t>
      </w:r>
      <w:r w:rsidR="002916EE" w:rsidRPr="002916EE">
        <w:rPr>
          <w:rFonts w:ascii="Arial" w:hAnsi="Arial" w:cs="Arial"/>
          <w:sz w:val="22"/>
          <w:szCs w:val="22"/>
        </w:rPr>
        <w:t>A titre exceptionnel, des commandes hors catalogue sont possibles dans le cadre du marché.</w:t>
      </w:r>
    </w:p>
    <w:p w:rsidR="00614EAB" w:rsidRDefault="00614EAB" w:rsidP="00C512EF">
      <w:pPr>
        <w:tabs>
          <w:tab w:val="left" w:pos="426"/>
        </w:tabs>
        <w:suppressAutoHyphens/>
        <w:spacing w:after="0" w:line="240" w:lineRule="auto"/>
        <w:rPr>
          <w:lang w:eastAsia="ar-SA"/>
        </w:rPr>
      </w:pPr>
    </w:p>
    <w:p w:rsidR="00614EAB" w:rsidRPr="00614EAB" w:rsidRDefault="00614EAB" w:rsidP="00C512EF">
      <w:pPr>
        <w:rPr>
          <w:rFonts w:eastAsia="Times New Roman" w:cs="Arial"/>
          <w:b/>
          <w:i/>
          <w:lang w:eastAsia="ar-SA"/>
        </w:rPr>
      </w:pPr>
      <w:r w:rsidRPr="00880410">
        <w:rPr>
          <w:rFonts w:eastAsia="Times New Roman" w:cs="Arial"/>
          <w:lang w:eastAsia="ar-SA"/>
        </w:rPr>
        <w:t xml:space="preserve">Le titulaire pourra faire bénéficier la Ville de ses </w:t>
      </w:r>
      <w:r w:rsidRPr="00880410">
        <w:rPr>
          <w:rFonts w:eastAsia="Times New Roman" w:cs="Arial"/>
          <w:b/>
          <w:lang w:eastAsia="ar-SA"/>
        </w:rPr>
        <w:t>offres promotionnelles et commerciales</w:t>
      </w:r>
      <w:r w:rsidRPr="00880410">
        <w:rPr>
          <w:rFonts w:eastAsia="Times New Roman" w:cs="Arial"/>
          <w:lang w:eastAsia="ar-SA"/>
        </w:rPr>
        <w:t>.</w:t>
      </w:r>
    </w:p>
    <w:p w:rsidR="005C1E92" w:rsidRPr="00126C0E" w:rsidRDefault="00126C0E" w:rsidP="00386405">
      <w:pPr>
        <w:pStyle w:val="Titre1"/>
        <w:rPr>
          <w:rFonts w:eastAsia="Times New Roman"/>
          <w:lang w:eastAsia="ar-SA"/>
        </w:rPr>
      </w:pPr>
      <w:bookmarkStart w:id="14" w:name="_Toc184896397"/>
      <w:r w:rsidRPr="00126C0E">
        <w:rPr>
          <w:rFonts w:eastAsia="Times New Roman"/>
          <w:lang w:eastAsia="ar-SA"/>
        </w:rPr>
        <w:t xml:space="preserve">ARTICLE 7 : MODALITES </w:t>
      </w:r>
      <w:r w:rsidR="001A1E11">
        <w:rPr>
          <w:rFonts w:eastAsia="Times New Roman"/>
          <w:lang w:eastAsia="ar-SA"/>
        </w:rPr>
        <w:t xml:space="preserve">ET DELAIS </w:t>
      </w:r>
      <w:r w:rsidRPr="00126C0E">
        <w:rPr>
          <w:rFonts w:eastAsia="Times New Roman"/>
          <w:lang w:eastAsia="ar-SA"/>
        </w:rPr>
        <w:t xml:space="preserve">D’EXECUTION </w:t>
      </w:r>
      <w:r w:rsidR="0006087F">
        <w:rPr>
          <w:rFonts w:eastAsia="Times New Roman"/>
          <w:lang w:eastAsia="ar-SA"/>
        </w:rPr>
        <w:t>DE L’ACCORD-CADRE</w:t>
      </w:r>
      <w:bookmarkEnd w:id="14"/>
      <w:r w:rsidR="0006087F">
        <w:rPr>
          <w:rFonts w:eastAsia="Times New Roman"/>
          <w:lang w:eastAsia="ar-SA"/>
        </w:rPr>
        <w:t xml:space="preserve"> </w:t>
      </w:r>
    </w:p>
    <w:p w:rsidR="0082242E" w:rsidRDefault="0082242E" w:rsidP="0082242E">
      <w:pPr>
        <w:spacing w:after="0" w:line="240" w:lineRule="auto"/>
        <w:rPr>
          <w:rFonts w:eastAsia="Times New Roman" w:cs="Arial"/>
          <w:highlight w:val="yellow"/>
          <w:lang w:eastAsia="ar-SA"/>
        </w:rPr>
      </w:pPr>
    </w:p>
    <w:p w:rsidR="00016FD2" w:rsidRDefault="001A1E11" w:rsidP="0082242E">
      <w:pPr>
        <w:spacing w:after="0" w:line="240" w:lineRule="auto"/>
        <w:rPr>
          <w:rFonts w:eastAsia="Calibri" w:cs="Arial"/>
          <w:bCs/>
        </w:rPr>
      </w:pPr>
      <w:r>
        <w:rPr>
          <w:rFonts w:eastAsia="Calibri" w:cs="Arial"/>
          <w:bCs/>
        </w:rPr>
        <w:t xml:space="preserve">Les dispositions spécifiques aux modalités et délais d’exécution se trouvent dans le Cahier des Clauses Techniques Particulières. </w:t>
      </w:r>
    </w:p>
    <w:p w:rsidR="00DE34EB" w:rsidRPr="00DE34EB" w:rsidRDefault="00DE34EB" w:rsidP="00126C0E">
      <w:pPr>
        <w:pStyle w:val="Titre1"/>
        <w:rPr>
          <w:rFonts w:eastAsia="Times New Roman"/>
          <w:lang w:eastAsia="fr-FR"/>
        </w:rPr>
      </w:pPr>
      <w:bookmarkStart w:id="15" w:name="_Toc184896398"/>
      <w:r w:rsidRPr="00DE34EB">
        <w:rPr>
          <w:rFonts w:eastAsia="Times New Roman"/>
          <w:lang w:eastAsia="fr-FR"/>
        </w:rPr>
        <w:t xml:space="preserve">ARTICLE </w:t>
      </w:r>
      <w:r>
        <w:rPr>
          <w:rFonts w:eastAsia="Times New Roman"/>
          <w:lang w:eastAsia="fr-FR"/>
        </w:rPr>
        <w:t>8</w:t>
      </w:r>
      <w:r w:rsidRPr="00DE34EB">
        <w:rPr>
          <w:rFonts w:eastAsia="Times New Roman"/>
          <w:lang w:eastAsia="fr-FR"/>
        </w:rPr>
        <w:t xml:space="preserve"> – DISPOSITIONS FINANCIERES</w:t>
      </w:r>
      <w:bookmarkEnd w:id="15"/>
    </w:p>
    <w:p w:rsidR="00DE34EB" w:rsidRPr="00DE34EB" w:rsidRDefault="00DE34EB" w:rsidP="00DE34EB">
      <w:pPr>
        <w:spacing w:after="0" w:line="240" w:lineRule="auto"/>
        <w:ind w:left="284"/>
        <w:rPr>
          <w:rFonts w:ascii="Arial Narrow" w:eastAsia="Calibri" w:hAnsi="Arial Narrow" w:cs="Arial"/>
          <w:b/>
          <w:sz w:val="24"/>
          <w:szCs w:val="24"/>
        </w:rPr>
      </w:pPr>
    </w:p>
    <w:p w:rsidR="00DE34EB" w:rsidRPr="00DE34EB" w:rsidRDefault="00DC258D" w:rsidP="00126C0E">
      <w:pPr>
        <w:pStyle w:val="Titre2"/>
        <w:rPr>
          <w:rFonts w:eastAsia="Calibri"/>
        </w:rPr>
      </w:pPr>
      <w:bookmarkStart w:id="16" w:name="_Toc184896399"/>
      <w:r>
        <w:rPr>
          <w:rFonts w:eastAsia="Calibri"/>
        </w:rPr>
        <w:t>8</w:t>
      </w:r>
      <w:r w:rsidR="00DE34EB" w:rsidRPr="00DE34EB">
        <w:rPr>
          <w:rFonts w:eastAsia="Calibri"/>
        </w:rPr>
        <w:t>.1 – Caractère des prix</w:t>
      </w:r>
      <w:bookmarkEnd w:id="16"/>
    </w:p>
    <w:p w:rsidR="00DE34EB" w:rsidRPr="00DE34EB" w:rsidRDefault="00DE34EB" w:rsidP="00DE34EB">
      <w:pPr>
        <w:spacing w:after="0" w:line="240" w:lineRule="auto"/>
        <w:rPr>
          <w:rFonts w:eastAsia="Calibri" w:cs="Arial"/>
        </w:rPr>
      </w:pPr>
    </w:p>
    <w:p w:rsidR="00893ADB" w:rsidRDefault="00893ADB" w:rsidP="001A1E11">
      <w:pPr>
        <w:spacing w:after="0" w:line="240" w:lineRule="auto"/>
        <w:rPr>
          <w:rFonts w:eastAsia="Calibri" w:cs="Arial"/>
        </w:rPr>
      </w:pPr>
      <w:r>
        <w:rPr>
          <w:rFonts w:eastAsia="Calibri" w:cs="Arial"/>
        </w:rPr>
        <w:t xml:space="preserve">Le marché public est traité à prix mixtes. </w:t>
      </w:r>
    </w:p>
    <w:p w:rsidR="00893ADB" w:rsidRDefault="00893ADB" w:rsidP="001A1E11">
      <w:pPr>
        <w:spacing w:after="0" w:line="240" w:lineRule="auto"/>
        <w:rPr>
          <w:rFonts w:eastAsia="Calibri" w:cs="Arial"/>
        </w:rPr>
      </w:pPr>
    </w:p>
    <w:p w:rsidR="001A1E11" w:rsidRDefault="001A1E11" w:rsidP="001A1E11">
      <w:pPr>
        <w:spacing w:after="0" w:line="240" w:lineRule="auto"/>
        <w:rPr>
          <w:rFonts w:eastAsia="Calibri" w:cs="Arial"/>
        </w:rPr>
      </w:pPr>
      <w:r w:rsidRPr="00DE34EB">
        <w:rPr>
          <w:rFonts w:eastAsia="Calibri" w:cs="Arial"/>
        </w:rPr>
        <w:t xml:space="preserve">Le marché public est un accord-cadre à bons de commande mono-attributaire, il est traité à prix unitaires. Les prestations à exécuter donneront lieu, en application </w:t>
      </w:r>
      <w:r>
        <w:rPr>
          <w:rFonts w:eastAsia="Calibri" w:cs="Arial"/>
        </w:rPr>
        <w:t>des articles R.2162-1 à R.2162-6</w:t>
      </w:r>
      <w:r w:rsidRPr="00DE34EB">
        <w:rPr>
          <w:rFonts w:eastAsia="Calibri" w:cs="Arial"/>
        </w:rPr>
        <w:t>, à la passation de bons de commandes.</w:t>
      </w:r>
    </w:p>
    <w:p w:rsidR="00A3709E" w:rsidRDefault="00A3709E" w:rsidP="001A1E11">
      <w:pPr>
        <w:spacing w:after="0" w:line="240" w:lineRule="auto"/>
        <w:rPr>
          <w:rFonts w:eastAsia="Calibri" w:cs="Arial"/>
        </w:rPr>
      </w:pPr>
    </w:p>
    <w:p w:rsidR="009C102D" w:rsidRDefault="00772ED8" w:rsidP="009C102D">
      <w:pPr>
        <w:spacing w:after="0" w:line="240" w:lineRule="auto"/>
        <w:rPr>
          <w:rFonts w:eastAsia="Calibri" w:cs="Arial"/>
        </w:rPr>
      </w:pPr>
      <w:r>
        <w:rPr>
          <w:rFonts w:eastAsia="Calibri" w:cs="Arial"/>
        </w:rPr>
        <w:t xml:space="preserve">L’accord-cadre est également traité à prix forfaitaire pour la partie </w:t>
      </w:r>
      <w:r w:rsidR="00421A64">
        <w:rPr>
          <w:rFonts w:eastAsia="Calibri" w:cs="Arial"/>
        </w:rPr>
        <w:t>vérification</w:t>
      </w:r>
      <w:r>
        <w:rPr>
          <w:rFonts w:eastAsia="Calibri" w:cs="Arial"/>
        </w:rPr>
        <w:t xml:space="preserve"> annuelle. </w:t>
      </w:r>
    </w:p>
    <w:p w:rsidR="0023680B" w:rsidRDefault="0023680B" w:rsidP="009C102D">
      <w:pPr>
        <w:spacing w:after="0" w:line="240" w:lineRule="auto"/>
        <w:rPr>
          <w:rFonts w:eastAsia="Calibri" w:cs="Arial"/>
        </w:rPr>
      </w:pPr>
    </w:p>
    <w:p w:rsidR="00DE34EB" w:rsidRPr="00DE34EB" w:rsidRDefault="00DE34EB" w:rsidP="00DE34EB">
      <w:pPr>
        <w:spacing w:after="0" w:line="240" w:lineRule="auto"/>
        <w:rPr>
          <w:rFonts w:eastAsia="Calibri" w:cs="Arial"/>
          <w:b/>
        </w:rPr>
      </w:pPr>
    </w:p>
    <w:p w:rsidR="00DE34EB" w:rsidRPr="00DE34EB" w:rsidRDefault="00DC258D" w:rsidP="00126C0E">
      <w:pPr>
        <w:pStyle w:val="Titre2"/>
        <w:rPr>
          <w:rFonts w:eastAsia="Calibri"/>
        </w:rPr>
      </w:pPr>
      <w:bookmarkStart w:id="17" w:name="_Toc184896400"/>
      <w:r>
        <w:rPr>
          <w:rFonts w:eastAsia="Calibri"/>
        </w:rPr>
        <w:t>8</w:t>
      </w:r>
      <w:r w:rsidR="00DE34EB" w:rsidRPr="00DE34EB">
        <w:rPr>
          <w:rFonts w:eastAsia="Calibri"/>
        </w:rPr>
        <w:t>.2 – Contenu des prix</w:t>
      </w:r>
      <w:bookmarkEnd w:id="17"/>
    </w:p>
    <w:p w:rsidR="00DE34EB" w:rsidRDefault="00DE34EB" w:rsidP="00DE34EB">
      <w:pPr>
        <w:tabs>
          <w:tab w:val="left" w:pos="-57"/>
          <w:tab w:val="left" w:pos="0"/>
        </w:tabs>
        <w:spacing w:after="0" w:line="240" w:lineRule="auto"/>
        <w:rPr>
          <w:rFonts w:eastAsia="Calibri" w:cs="Arial"/>
        </w:rPr>
      </w:pPr>
    </w:p>
    <w:p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001401FF">
        <w:rPr>
          <w:rFonts w:eastAsia="Calibri" w:cs="Arial"/>
        </w:rPr>
        <w:t>, le Cahier des Clauses Techniques Particulières</w:t>
      </w:r>
      <w:r w:rsidRPr="00DE34EB">
        <w:rPr>
          <w:rFonts w:eastAsia="Calibri" w:cs="Arial"/>
        </w:rPr>
        <w:t xml:space="preserve"> </w:t>
      </w:r>
      <w:r w:rsidR="001401FF">
        <w:rPr>
          <w:rFonts w:eastAsia="Calibri" w:cs="Arial"/>
        </w:rPr>
        <w:t>(CCTP)</w:t>
      </w:r>
      <w:r w:rsidR="00421A64">
        <w:rPr>
          <w:rFonts w:eastAsia="Calibri" w:cs="Arial"/>
        </w:rPr>
        <w:t>, à la Décomposition des Prix Globaux et Forfaitaires (DPGF)</w:t>
      </w:r>
      <w:r w:rsidR="001401FF">
        <w:rPr>
          <w:rFonts w:eastAsia="Calibri" w:cs="Arial"/>
        </w:rPr>
        <w:t xml:space="preserve"> </w:t>
      </w:r>
      <w:r w:rsidRPr="00DE34EB">
        <w:rPr>
          <w:rFonts w:eastAsia="Calibri" w:cs="Arial"/>
        </w:rPr>
        <w:t>et au Bordereau des Prix Unitaires (BPU).</w:t>
      </w:r>
      <w:r>
        <w:rPr>
          <w:rFonts w:eastAsia="Calibri" w:cs="Arial"/>
        </w:rPr>
        <w:t xml:space="preserve"> </w:t>
      </w:r>
      <w:r w:rsidRPr="00DE34EB">
        <w:rPr>
          <w:rFonts w:eastAsia="Calibri" w:cs="Arial"/>
        </w:rPr>
        <w:t>Le taux de TVA à appliquer sera celui en vigueur le jour du fait générateur de cette taxe.</w:t>
      </w:r>
    </w:p>
    <w:p w:rsidR="001A1E11" w:rsidRPr="00DE34EB" w:rsidRDefault="001A1E11" w:rsidP="001A1E11">
      <w:pPr>
        <w:tabs>
          <w:tab w:val="left" w:pos="-57"/>
          <w:tab w:val="left" w:pos="0"/>
        </w:tabs>
        <w:spacing w:after="0" w:line="240" w:lineRule="auto"/>
        <w:rPr>
          <w:rFonts w:eastAsia="Calibri" w:cs="Arial"/>
        </w:rPr>
      </w:pPr>
    </w:p>
    <w:p w:rsidR="00DE34EB" w:rsidRPr="00DE34EB" w:rsidRDefault="00DC258D" w:rsidP="00126C0E">
      <w:pPr>
        <w:pStyle w:val="Titre2"/>
        <w:rPr>
          <w:rFonts w:eastAsia="Calibri"/>
        </w:rPr>
      </w:pPr>
      <w:bookmarkStart w:id="18" w:name="_Toc184896401"/>
      <w:r>
        <w:rPr>
          <w:rFonts w:eastAsia="Calibri"/>
        </w:rPr>
        <w:t>8</w:t>
      </w:r>
      <w:r w:rsidR="00DE34EB" w:rsidRPr="00DE34EB">
        <w:rPr>
          <w:rFonts w:eastAsia="Calibri"/>
        </w:rPr>
        <w:t>.3 – Variation des prix</w:t>
      </w:r>
      <w:bookmarkEnd w:id="18"/>
    </w:p>
    <w:p w:rsidR="00DE34EB" w:rsidRPr="00DE34EB" w:rsidRDefault="00DE34EB" w:rsidP="00DE34EB">
      <w:pPr>
        <w:spacing w:after="0" w:line="240" w:lineRule="auto"/>
        <w:rPr>
          <w:rFonts w:eastAsia="Calibri" w:cs="Arial"/>
        </w:rPr>
      </w:pPr>
    </w:p>
    <w:p w:rsidR="009B64DB" w:rsidRDefault="009B64DB" w:rsidP="009B64DB">
      <w:pPr>
        <w:spacing w:after="0" w:line="240" w:lineRule="auto"/>
        <w:rPr>
          <w:rFonts w:eastAsia="Calibri" w:cs="Arial"/>
        </w:rPr>
      </w:pPr>
      <w:r>
        <w:rPr>
          <w:rFonts w:eastAsia="Calibri" w:cs="Arial"/>
        </w:rPr>
        <w:t xml:space="preserve">Les prix </w:t>
      </w:r>
      <w:r w:rsidR="006321EB">
        <w:rPr>
          <w:rFonts w:eastAsia="Calibri" w:cs="Arial"/>
        </w:rPr>
        <w:t xml:space="preserve">du Bordereau des Prix Unitaires </w:t>
      </w:r>
      <w:r>
        <w:rPr>
          <w:rFonts w:eastAsia="Calibri" w:cs="Arial"/>
        </w:rPr>
        <w:t xml:space="preserve">peuvent être révisés par ajustement une fois par an </w:t>
      </w:r>
      <w:r>
        <w:rPr>
          <w:rFonts w:eastAsia="Calibri" w:cs="Arial"/>
          <w:b/>
          <w:u w:val="single"/>
        </w:rPr>
        <w:t>A L’INITIATIVE DU TITULAIRE</w:t>
      </w:r>
      <w:r>
        <w:rPr>
          <w:rFonts w:eastAsia="Calibri" w:cs="Arial"/>
        </w:rPr>
        <w:t xml:space="preserve">. </w:t>
      </w:r>
    </w:p>
    <w:p w:rsidR="009B64DB" w:rsidRDefault="009B64DB" w:rsidP="009B64DB">
      <w:pPr>
        <w:spacing w:after="0" w:line="240" w:lineRule="auto"/>
        <w:rPr>
          <w:rFonts w:eastAsia="Calibri" w:cs="Arial"/>
        </w:rPr>
      </w:pPr>
    </w:p>
    <w:p w:rsidR="009B64DB" w:rsidRDefault="009B64DB" w:rsidP="009B64DB">
      <w:pPr>
        <w:spacing w:after="0" w:line="240" w:lineRule="auto"/>
        <w:rPr>
          <w:rFonts w:eastAsia="Calibri" w:cs="Arial"/>
        </w:rPr>
      </w:pPr>
      <w:r>
        <w:rPr>
          <w:rFonts w:eastAsia="Calibri" w:cs="Arial"/>
        </w:rPr>
        <w:t xml:space="preserve">En cas de hausse </w:t>
      </w:r>
      <w:r w:rsidRPr="00850671">
        <w:rPr>
          <w:rFonts w:eastAsia="Calibri" w:cs="Arial"/>
        </w:rPr>
        <w:t>atteignant 1,5 % l’an par ligne</w:t>
      </w:r>
      <w:r>
        <w:rPr>
          <w:rFonts w:eastAsia="Calibri" w:cs="Arial"/>
        </w:rPr>
        <w:t xml:space="preserve"> du bordereau de prix unitaires, le titulaire devra justifier son augmentation. La Collectivité se réservant le droit d’accepter ou de refuser la révision du prix. En cas de refus, et si le titulaire maintient ses nouveaux tarifs, la Collectivité pourra soit continuer d’exécuter le marché soit résilier sans indemnité la partie non exécutée du Marché à la date du changement de barème ou de tarif.</w:t>
      </w:r>
    </w:p>
    <w:p w:rsidR="009B64DB" w:rsidRDefault="009B64DB" w:rsidP="009B64DB">
      <w:pPr>
        <w:spacing w:after="0" w:line="240" w:lineRule="auto"/>
        <w:rPr>
          <w:rFonts w:eastAsia="Calibri" w:cs="Arial"/>
        </w:rPr>
      </w:pPr>
    </w:p>
    <w:p w:rsidR="009B64DB" w:rsidRDefault="009B64DB" w:rsidP="009B64DB">
      <w:pPr>
        <w:spacing w:after="0" w:line="240" w:lineRule="auto"/>
        <w:rPr>
          <w:rFonts w:eastAsia="Calibri" w:cs="Arial"/>
        </w:rPr>
      </w:pPr>
      <w:r>
        <w:rPr>
          <w:rFonts w:eastAsia="Calibri" w:cs="Arial"/>
        </w:rPr>
        <w:t xml:space="preserve">Il devra avertir par écrit la commune de son intention de procéder à la révision des prix </w:t>
      </w:r>
      <w:r>
        <w:rPr>
          <w:rFonts w:eastAsia="Calibri" w:cs="Arial"/>
          <w:b/>
        </w:rPr>
        <w:t>au moins un mois avant la date anniversaire de la notification</w:t>
      </w:r>
      <w:r>
        <w:rPr>
          <w:rFonts w:eastAsia="Calibri" w:cs="Arial"/>
        </w:rPr>
        <w:t>. Il devra alors fournir à ce moment précis le bordereau de prix unitaires, ainsi que le catalogue ou liste tarifaire s’il y a lieu, avec les nouveaux tarifs applicables (en trois exemplaires).</w:t>
      </w:r>
    </w:p>
    <w:p w:rsidR="009B64DB" w:rsidRDefault="009B64DB" w:rsidP="009B64DB">
      <w:pPr>
        <w:spacing w:after="0" w:line="240" w:lineRule="auto"/>
        <w:rPr>
          <w:rFonts w:eastAsia="Calibri" w:cs="Arial"/>
        </w:rPr>
      </w:pPr>
    </w:p>
    <w:p w:rsidR="009B64DB" w:rsidRDefault="009B64DB" w:rsidP="009B64DB">
      <w:pPr>
        <w:spacing w:after="0" w:line="240" w:lineRule="auto"/>
        <w:rPr>
          <w:rFonts w:eastAsia="Calibri" w:cs="Arial"/>
          <w:b/>
        </w:rPr>
      </w:pPr>
      <w:r>
        <w:rPr>
          <w:rFonts w:eastAsia="Calibri" w:cs="Arial"/>
          <w:b/>
        </w:rPr>
        <w:t xml:space="preserve">Si le délai de révision indiqué au paragraphe précédent n’est pas respecté, les révisions de prix ne seront pas appliquées. </w:t>
      </w:r>
    </w:p>
    <w:p w:rsidR="009B64DB" w:rsidRDefault="009B64DB" w:rsidP="009B64DB">
      <w:pPr>
        <w:spacing w:after="0" w:line="240" w:lineRule="auto"/>
        <w:rPr>
          <w:rFonts w:eastAsia="Calibri" w:cs="Arial"/>
        </w:rPr>
      </w:pPr>
    </w:p>
    <w:p w:rsidR="00F44AC2" w:rsidRPr="00530E4D" w:rsidRDefault="009B64DB" w:rsidP="00530E4D">
      <w:pPr>
        <w:spacing w:after="0" w:line="240" w:lineRule="auto"/>
        <w:rPr>
          <w:rFonts w:eastAsia="Calibri" w:cs="Arial"/>
        </w:rPr>
      </w:pPr>
      <w:r>
        <w:rPr>
          <w:rFonts w:eastAsia="Calibri" w:cs="Arial"/>
        </w:rPr>
        <w:t>Cette révision de prix devra apparaître sur les factures.</w:t>
      </w:r>
    </w:p>
    <w:p w:rsidR="00DE34EB" w:rsidRPr="00DE34EB" w:rsidRDefault="00DE34EB" w:rsidP="00126C0E">
      <w:pPr>
        <w:pStyle w:val="Titre1"/>
        <w:rPr>
          <w:rFonts w:eastAsia="Times New Roman"/>
          <w:lang w:eastAsia="fr-FR"/>
        </w:rPr>
      </w:pPr>
      <w:bookmarkStart w:id="19" w:name="_Toc184896402"/>
      <w:r w:rsidRPr="00DE34EB">
        <w:rPr>
          <w:rFonts w:eastAsia="Times New Roman"/>
          <w:lang w:eastAsia="fr-FR"/>
        </w:rPr>
        <w:t xml:space="preserve">ARTICLE </w:t>
      </w:r>
      <w:r>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19"/>
    </w:p>
    <w:p w:rsidR="00DE34EB" w:rsidRDefault="00DE34EB" w:rsidP="00DE34EB">
      <w:pPr>
        <w:spacing w:after="0" w:line="240" w:lineRule="auto"/>
      </w:pPr>
    </w:p>
    <w:p w:rsidR="00F44AC2" w:rsidRDefault="00F44AC2" w:rsidP="00F44AC2">
      <w:pPr>
        <w:pStyle w:val="Titre2"/>
        <w:rPr>
          <w:rFonts w:eastAsia="Arial"/>
        </w:rPr>
      </w:pPr>
      <w:bookmarkStart w:id="20" w:name="_Toc184896403"/>
      <w:r>
        <w:rPr>
          <w:rFonts w:eastAsia="Arial"/>
        </w:rPr>
        <w:t>9.1 Modalités de règlement des factures</w:t>
      </w:r>
      <w:bookmarkEnd w:id="20"/>
      <w:r>
        <w:rPr>
          <w:rFonts w:eastAsia="Arial"/>
        </w:rPr>
        <w:t xml:space="preserve"> </w:t>
      </w:r>
    </w:p>
    <w:p w:rsidR="00F44AC2" w:rsidRDefault="00F44AC2" w:rsidP="009B64DB">
      <w:pPr>
        <w:spacing w:after="0" w:line="240" w:lineRule="auto"/>
        <w:rPr>
          <w:rFonts w:eastAsia="Arial" w:cs="Arial"/>
        </w:rPr>
      </w:pPr>
    </w:p>
    <w:p w:rsidR="00F44AC2" w:rsidRDefault="00DE34EB" w:rsidP="009B64DB">
      <w:pPr>
        <w:spacing w:after="0" w:line="240" w:lineRule="auto"/>
        <w:rPr>
          <w:rFonts w:eastAsia="Arial" w:cs="Arial"/>
        </w:rPr>
      </w:pPr>
      <w:r w:rsidRPr="00DE34EB">
        <w:rPr>
          <w:rFonts w:eastAsia="Arial" w:cs="Arial"/>
        </w:rPr>
        <w:t xml:space="preserve">Les modalités de règlement sont celles prévues aux articles 11 et 13 du CCAG. </w:t>
      </w:r>
    </w:p>
    <w:p w:rsidR="00F44AC2" w:rsidRDefault="00F44AC2" w:rsidP="009B64DB">
      <w:pPr>
        <w:spacing w:after="0" w:line="240" w:lineRule="auto"/>
        <w:rPr>
          <w:rFonts w:eastAsia="Arial" w:cs="Arial"/>
        </w:rPr>
      </w:pPr>
    </w:p>
    <w:p w:rsidR="00535B1D" w:rsidRDefault="00F44AC2" w:rsidP="00F44AC2">
      <w:pPr>
        <w:pStyle w:val="Titre2"/>
        <w:rPr>
          <w:rFonts w:eastAsia="Arial" w:cs="Arial"/>
        </w:rPr>
      </w:pPr>
      <w:bookmarkStart w:id="21" w:name="_Toc184896404"/>
      <w:r>
        <w:rPr>
          <w:rFonts w:eastAsia="Arial" w:cs="Arial"/>
        </w:rPr>
        <w:t>9.2 Transmission des factures</w:t>
      </w:r>
      <w:bookmarkEnd w:id="21"/>
      <w:r>
        <w:rPr>
          <w:rFonts w:eastAsia="Arial" w:cs="Arial"/>
        </w:rPr>
        <w:t xml:space="preserve"> </w:t>
      </w:r>
    </w:p>
    <w:p w:rsidR="00530E4D" w:rsidRPr="00530E4D" w:rsidRDefault="00F44AC2" w:rsidP="00530E4D">
      <w:r>
        <w:br/>
        <w:t xml:space="preserve">La transmission des factures </w:t>
      </w:r>
      <w:r w:rsidR="00893ADB">
        <w:t>doit</w:t>
      </w:r>
      <w:r>
        <w:t xml:space="preserve"> se faire obligatoirement</w:t>
      </w:r>
      <w:r w:rsidR="00530E4D">
        <w:rPr>
          <w:rStyle w:val="Appelnotedebasdep"/>
        </w:rPr>
        <w:footnoteReference w:id="1"/>
      </w:r>
      <w:r>
        <w:t xml:space="preserve"> par voie dématérialisée via </w:t>
      </w:r>
      <w:hyperlink r:id="rId9" w:history="1">
        <w:r w:rsidR="00530E4D" w:rsidRPr="003F3AAE">
          <w:rPr>
            <w:rStyle w:val="Lienhypertexte"/>
          </w:rPr>
          <w:t>https://chorus-pro.gouv.fr</w:t>
        </w:r>
      </w:hyperlink>
      <w:r w:rsidR="00530E4D">
        <w:rPr>
          <w:vertAlign w:val="superscript"/>
        </w:rPr>
        <w:t xml:space="preserve"> </w:t>
      </w:r>
      <w:r w:rsidR="00530E4D">
        <w:rPr>
          <w:rStyle w:val="Appelnotedebasdep"/>
        </w:rPr>
        <w:footnoteReference w:id="2"/>
      </w:r>
      <w:r w:rsidR="00530E4D">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rsidR="00EA67B1" w:rsidRDefault="00EF700E" w:rsidP="00126C0E">
      <w:pPr>
        <w:tabs>
          <w:tab w:val="left" w:pos="720"/>
          <w:tab w:val="left" w:pos="1080"/>
        </w:tabs>
        <w:suppressAutoHyphens/>
        <w:autoSpaceDE w:val="0"/>
        <w:spacing w:after="0" w:line="240" w:lineRule="auto"/>
        <w:rPr>
          <w:rFonts w:eastAsia="Times New Roman" w:cs="Arial"/>
          <w:lang w:eastAsia="ar-SA"/>
        </w:rPr>
      </w:pPr>
      <w:r>
        <w:t xml:space="preserve">Les sommes dues sont réglées dans un délai global de 30 jours, le point de départ du délai de paiement étant la date de réception de la facture </w:t>
      </w:r>
      <w:r w:rsidR="002F56B1">
        <w:t>sur le portail Chorus</w:t>
      </w:r>
      <w:r>
        <w:t>.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rsidR="00600DCA" w:rsidRDefault="00600DCA" w:rsidP="00126C0E">
      <w:pPr>
        <w:tabs>
          <w:tab w:val="left" w:pos="720"/>
          <w:tab w:val="left" w:pos="1080"/>
        </w:tabs>
        <w:suppressAutoHyphens/>
        <w:autoSpaceDE w:val="0"/>
        <w:spacing w:after="0" w:line="240" w:lineRule="auto"/>
        <w:rPr>
          <w:rFonts w:eastAsia="Times New Roman" w:cs="Arial"/>
          <w:lang w:eastAsia="ar-SA"/>
        </w:rPr>
      </w:pPr>
    </w:p>
    <w:p w:rsidR="00600DCA" w:rsidRDefault="00600DCA" w:rsidP="00600DCA">
      <w:r>
        <w:t>Pour de plus amples informations sur le fonctionnement de cette solution, le titulaire pourra se connecter sur le site d’information accessible à l’adresse suivante : https://communaute.chorus-pro.gouv.fr</w:t>
      </w:r>
    </w:p>
    <w:p w:rsidR="00600DCA" w:rsidRDefault="00600DCA" w:rsidP="00600DCA">
      <w:pPr>
        <w:rPr>
          <w:b/>
          <w:u w:val="single"/>
        </w:rPr>
      </w:pPr>
      <w:r>
        <w:rPr>
          <w:b/>
          <w:u w:val="single"/>
        </w:rPr>
        <w:t>Information sur l’Acheteur:</w:t>
      </w:r>
    </w:p>
    <w:p w:rsidR="00600DCA" w:rsidRDefault="00600DCA" w:rsidP="00600DCA">
      <w:r>
        <w:t>Nom : Ville de Loos</w:t>
      </w:r>
    </w:p>
    <w:p w:rsidR="00600DCA" w:rsidRDefault="00600DCA" w:rsidP="00600DCA">
      <w:r>
        <w:t>SIRET : 21590360000017</w:t>
      </w:r>
    </w:p>
    <w:p w:rsidR="00600DCA" w:rsidRDefault="00600DCA" w:rsidP="00600DCA">
      <w:r>
        <w:t xml:space="preserve">En application de l'article D2192-2 du code de la commande publique, la facture électronique doit obligatoirement comporter les mentions suivantes : </w:t>
      </w:r>
    </w:p>
    <w:p w:rsidR="00600DCA" w:rsidRDefault="00600DCA" w:rsidP="00600DCA">
      <w:r>
        <w:t>1° La date d'émission de la facture ;</w:t>
      </w:r>
    </w:p>
    <w:p w:rsidR="00600DCA" w:rsidRDefault="00600DCA" w:rsidP="00600DCA">
      <w:r>
        <w:t>2° La désignation de l'émetteur et du destinataire de la facture ;</w:t>
      </w:r>
    </w:p>
    <w:p w:rsidR="00600DCA" w:rsidRDefault="00600DCA" w:rsidP="00600DCA">
      <w:r>
        <w:t>3° Le numéro unique basé sur une séquence chronologique et continue établie par l'émetteur de la facture, la numérotation pouvant être établie dans ces conditions sur une ou plusieurs séries ;</w:t>
      </w:r>
    </w:p>
    <w:p w:rsidR="00600DCA" w:rsidRDefault="00600DCA" w:rsidP="00600DCA">
      <w: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rsidR="00600DCA" w:rsidRDefault="00600DCA" w:rsidP="00600DCA">
      <w:r>
        <w:t>5° La désignation du payeur, avec l'indication, pour les personnes publiques, du code d'identification du service chargé du paiement ;</w:t>
      </w:r>
    </w:p>
    <w:p w:rsidR="00600DCA" w:rsidRDefault="00600DCA" w:rsidP="00600DCA">
      <w:r>
        <w:t>6° La date d'exécution des prestations ;</w:t>
      </w:r>
    </w:p>
    <w:p w:rsidR="00600DCA" w:rsidRDefault="00600DCA" w:rsidP="00600DCA">
      <w:r>
        <w:t>7° La quantité et la dénomination précise des prestations réalisées ;</w:t>
      </w:r>
    </w:p>
    <w:p w:rsidR="00600DCA" w:rsidRDefault="00600DCA" w:rsidP="00600DCA">
      <w:r>
        <w:t>8° Le prix unitaire hors taxes des prestations réalisées ;</w:t>
      </w:r>
    </w:p>
    <w:p w:rsidR="00600DCA" w:rsidRDefault="00600DCA" w:rsidP="00600DCA">
      <w:pPr>
        <w:rPr>
          <w:szCs w:val="20"/>
        </w:rPr>
      </w:pPr>
      <w:r>
        <w:t xml:space="preserve">9° Le montant total de la facture, le montant total hors taxes et le montant de la taxe à payer, ainsi que </w:t>
      </w:r>
      <w:r>
        <w:rPr>
          <w:szCs w:val="20"/>
        </w:rPr>
        <w:t>la répartition de ces montants par taux de taxe sur la valeur ajoutée, ou, le cas échéant, le bénéfice d'une exonération ;</w:t>
      </w:r>
    </w:p>
    <w:p w:rsidR="00600DCA" w:rsidRDefault="00600DCA" w:rsidP="00600DCA">
      <w:pPr>
        <w:rPr>
          <w:szCs w:val="20"/>
        </w:rPr>
      </w:pPr>
      <w:r>
        <w:rPr>
          <w:szCs w:val="20"/>
        </w:rPr>
        <w:t xml:space="preserve">10° Numéro d'identification, le cas échéant, </w:t>
      </w:r>
      <w:r>
        <w:rPr>
          <w:color w:val="000000"/>
          <w:szCs w:val="20"/>
          <w:shd w:val="clear" w:color="auto" w:fill="FFFFFF"/>
        </w:rPr>
        <w:t>attribué à l'assujetti fournisseur du bien ou service en application du 1er alinéa de l'article R.123-221 du Code de Commerce (SIREN) </w:t>
      </w:r>
      <w:r>
        <w:rPr>
          <w:szCs w:val="20"/>
        </w:rPr>
        <w:t>;</w:t>
      </w:r>
    </w:p>
    <w:p w:rsidR="00600DCA" w:rsidRDefault="00600DCA" w:rsidP="00600DCA">
      <w:pPr>
        <w:rPr>
          <w:szCs w:val="20"/>
        </w:rPr>
      </w:pPr>
      <w:r>
        <w:rPr>
          <w:szCs w:val="20"/>
        </w:rPr>
        <w:t>11° Le cas échéant, les modalités de règlement ;</w:t>
      </w:r>
    </w:p>
    <w:p w:rsidR="00600DCA" w:rsidRDefault="00600DCA" w:rsidP="00600DCA">
      <w:r>
        <w:t>12° Le cas échéant, les renseignements relatifs aux déductions ou versements complémentaires.</w:t>
      </w:r>
    </w:p>
    <w:p w:rsidR="00600DCA" w:rsidRDefault="00600DCA" w:rsidP="00600DCA">
      <w:r>
        <w:t>Les factures comportent en outre les numéros d'identité de l'émetteur et du destinataire de la facture, attribués à chaque établissement concerné ou, à défaut, à chaque personne en application de l'article R. 123-221 du code de commerce.</w:t>
      </w:r>
    </w:p>
    <w:p w:rsidR="00600DCA" w:rsidRDefault="00600DCA" w:rsidP="00600DCA">
      <w:r>
        <w:t>Le titulaire est informé que l'utilisation du portail de facturation est exclusive de tout autre mode de transmission.</w:t>
      </w:r>
    </w:p>
    <w:p w:rsidR="00600DCA" w:rsidRDefault="00600DCA" w:rsidP="00600DCA">
      <w:r>
        <w:t>Ainsi, lorsqu'une facture lui est transmise en dehors du portail de facturation, l’acheteur pourra la rejeter après avoir informé le titulaire par tout moyen de son obligation de transmettre ses factures par l’intermédiaire de ce portail et l'avoir invité à utiliser le portail de facturation.</w:t>
      </w:r>
    </w:p>
    <w:p w:rsidR="00600DCA" w:rsidRPr="00600DCA" w:rsidRDefault="00600DCA" w:rsidP="00600DCA">
      <w:r>
        <w:t>Le titulaire sera averti par tout moyen donnant date certaine de l’envoi des raisons qui s’opposent au paiement. La répétition d’erreurs sur les factures entrainera leur rejet systématique sans que l’acheteur soit tenu de procéder à la rectification de chaque prix. Les conséquences de ces négligences seront supportées par le titulaire sans qu’il puisse prétendre de ce fait aux intérêts moratoires.</w:t>
      </w:r>
    </w:p>
    <w:p w:rsidR="00EA67B1" w:rsidRPr="00DE34EB" w:rsidRDefault="00EA67B1" w:rsidP="00126C0E">
      <w:pPr>
        <w:pStyle w:val="Titre1"/>
        <w:rPr>
          <w:rFonts w:eastAsia="Times New Roman"/>
          <w:lang w:eastAsia="fr-FR"/>
        </w:rPr>
      </w:pPr>
      <w:bookmarkStart w:id="22" w:name="_Toc184896405"/>
      <w:r w:rsidRPr="00DE34EB">
        <w:rPr>
          <w:rFonts w:eastAsia="Times New Roman"/>
          <w:lang w:eastAsia="fr-FR"/>
        </w:rPr>
        <w:t xml:space="preserve">ARTICLE </w:t>
      </w:r>
      <w:r>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22"/>
    </w:p>
    <w:p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rsidR="00EA67B1" w:rsidRPr="00EF700E" w:rsidRDefault="00EA67B1" w:rsidP="00126C0E">
      <w:pPr>
        <w:pStyle w:val="Titre1"/>
        <w:rPr>
          <w:rFonts w:eastAsia="Times New Roman" w:cs="Times New Roman"/>
          <w:u w:val="single"/>
          <w:lang w:eastAsia="fr-FR"/>
        </w:rPr>
      </w:pPr>
      <w:bookmarkStart w:id="23" w:name="_Toc184896406"/>
      <w:r w:rsidRPr="00EF700E">
        <w:rPr>
          <w:rFonts w:eastAsia="Times New Roman"/>
          <w:lang w:eastAsia="fr-FR"/>
        </w:rPr>
        <w:t>ARTICLE</w:t>
      </w:r>
      <w:r>
        <w:rPr>
          <w:rFonts w:eastAsia="Times New Roman"/>
          <w:lang w:eastAsia="fr-FR"/>
        </w:rPr>
        <w:t xml:space="preserve"> 11</w:t>
      </w:r>
      <w:r w:rsidRPr="00EF700E">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PENALITES</w:t>
      </w:r>
      <w:bookmarkEnd w:id="23"/>
    </w:p>
    <w:p w:rsidR="00EA67B1" w:rsidRPr="00EA67B1" w:rsidRDefault="00EA67B1" w:rsidP="00EA67B1">
      <w:pPr>
        <w:tabs>
          <w:tab w:val="left" w:pos="720"/>
          <w:tab w:val="left" w:pos="1080"/>
        </w:tabs>
        <w:suppressAutoHyphens/>
        <w:autoSpaceDE w:val="0"/>
        <w:spacing w:after="0" w:line="240" w:lineRule="auto"/>
        <w:jc w:val="left"/>
      </w:pPr>
    </w:p>
    <w:p w:rsidR="00EF700E" w:rsidRPr="00EF700E" w:rsidRDefault="00EF700E" w:rsidP="00EF700E">
      <w:pPr>
        <w:spacing w:after="0" w:line="240" w:lineRule="auto"/>
        <w:rPr>
          <w:rFonts w:eastAsia="Calibri" w:cs="Arial"/>
        </w:rPr>
      </w:pPr>
      <w:r w:rsidRPr="00EF700E">
        <w:rPr>
          <w:rFonts w:eastAsia="Calibri" w:cs="Arial"/>
        </w:rPr>
        <w:t xml:space="preserve">Par dérogation à l’article </w:t>
      </w:r>
      <w:r>
        <w:rPr>
          <w:rFonts w:eastAsia="Calibri" w:cs="Arial"/>
        </w:rPr>
        <w:t>14</w:t>
      </w:r>
      <w:r w:rsidRPr="00EF700E">
        <w:rPr>
          <w:rFonts w:eastAsia="Calibri" w:cs="Arial"/>
        </w:rPr>
        <w:t xml:space="preserve">.1 du C.C.A.G, le titulaire est soumis aux </w:t>
      </w:r>
      <w:r>
        <w:rPr>
          <w:rFonts w:eastAsia="Calibri" w:cs="Arial"/>
        </w:rPr>
        <w:t xml:space="preserve">pénalités, sans mise en demeure préalable, </w:t>
      </w:r>
      <w:r w:rsidRPr="00EF700E">
        <w:rPr>
          <w:rFonts w:eastAsia="Calibri" w:cs="Arial"/>
        </w:rPr>
        <w:t>suivantes :</w:t>
      </w:r>
    </w:p>
    <w:p w:rsidR="00EF700E" w:rsidRPr="00EF700E" w:rsidRDefault="00EF700E" w:rsidP="00EF700E">
      <w:pPr>
        <w:spacing w:after="0" w:line="240" w:lineRule="auto"/>
        <w:rPr>
          <w:rFonts w:eastAsia="Calibri"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81"/>
        <w:gridCol w:w="3381"/>
      </w:tblGrid>
      <w:tr w:rsidR="00EF700E" w:rsidRPr="00421A64" w:rsidTr="000B198B">
        <w:tc>
          <w:tcPr>
            <w:tcW w:w="5681" w:type="dxa"/>
            <w:shd w:val="clear" w:color="auto" w:fill="auto"/>
          </w:tcPr>
          <w:p w:rsidR="00EF700E" w:rsidRPr="000B198B" w:rsidRDefault="00EF700E" w:rsidP="00EF700E">
            <w:pPr>
              <w:spacing w:after="0" w:line="240" w:lineRule="auto"/>
              <w:jc w:val="center"/>
              <w:rPr>
                <w:rFonts w:eastAsia="Calibri" w:cs="Arial"/>
                <w:b/>
                <w:bCs/>
              </w:rPr>
            </w:pPr>
            <w:r w:rsidRPr="000B198B">
              <w:rPr>
                <w:rFonts w:eastAsia="Calibri" w:cs="Arial"/>
                <w:b/>
                <w:bCs/>
              </w:rPr>
              <w:t xml:space="preserve">Désignation </w:t>
            </w:r>
          </w:p>
        </w:tc>
        <w:tc>
          <w:tcPr>
            <w:tcW w:w="3381" w:type="dxa"/>
            <w:shd w:val="clear" w:color="auto" w:fill="auto"/>
          </w:tcPr>
          <w:p w:rsidR="00EF700E" w:rsidRPr="000B198B" w:rsidRDefault="00EF700E" w:rsidP="00EF700E">
            <w:pPr>
              <w:spacing w:after="0" w:line="240" w:lineRule="auto"/>
              <w:jc w:val="center"/>
              <w:rPr>
                <w:rFonts w:eastAsia="Calibri" w:cs="Arial"/>
                <w:b/>
                <w:bCs/>
              </w:rPr>
            </w:pPr>
            <w:r w:rsidRPr="000B198B">
              <w:rPr>
                <w:rFonts w:eastAsia="Calibri" w:cs="Arial"/>
                <w:b/>
                <w:bCs/>
              </w:rPr>
              <w:t>Montants</w:t>
            </w:r>
          </w:p>
        </w:tc>
      </w:tr>
      <w:tr w:rsidR="001A1E11" w:rsidRPr="00421A64" w:rsidTr="00614EAB">
        <w:trPr>
          <w:trHeight w:val="397"/>
        </w:trPr>
        <w:tc>
          <w:tcPr>
            <w:tcW w:w="5681" w:type="dxa"/>
            <w:shd w:val="clear" w:color="auto" w:fill="auto"/>
          </w:tcPr>
          <w:p w:rsidR="001A1E11" w:rsidRPr="000B198B" w:rsidRDefault="000F4C10"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de retard </w:t>
            </w:r>
            <w:r w:rsidR="00584413" w:rsidRPr="000B198B">
              <w:rPr>
                <w:rFonts w:eastAsia="SimSun" w:cs="Arial"/>
                <w:kern w:val="1"/>
                <w:lang w:eastAsia="zh-CN" w:bidi="hi-IN"/>
              </w:rPr>
              <w:t>pour transmettre son devis</w:t>
            </w:r>
          </w:p>
        </w:tc>
        <w:tc>
          <w:tcPr>
            <w:tcW w:w="3381" w:type="dxa"/>
            <w:shd w:val="clear" w:color="auto" w:fill="auto"/>
          </w:tcPr>
          <w:p w:rsidR="001A1E11" w:rsidRPr="000B198B" w:rsidRDefault="000F4C10" w:rsidP="00584413">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 xml:space="preserve">50 € par jour </w:t>
            </w:r>
            <w:r w:rsidR="00584413" w:rsidRPr="000B198B">
              <w:rPr>
                <w:rFonts w:eastAsia="SimSun" w:cs="Arial"/>
                <w:kern w:val="1"/>
                <w:lang w:eastAsia="zh-CN" w:bidi="hi-IN"/>
              </w:rPr>
              <w:t>ouvrable</w:t>
            </w:r>
            <w:r w:rsidRPr="000B198B">
              <w:rPr>
                <w:rFonts w:eastAsia="SimSun" w:cs="Arial"/>
                <w:kern w:val="1"/>
                <w:lang w:eastAsia="zh-CN" w:bidi="hi-IN"/>
              </w:rPr>
              <w:t xml:space="preserve"> de retard </w:t>
            </w:r>
          </w:p>
        </w:tc>
      </w:tr>
      <w:tr w:rsidR="001401FF" w:rsidRPr="00421A64" w:rsidTr="00614EAB">
        <w:trPr>
          <w:trHeight w:val="397"/>
        </w:trPr>
        <w:tc>
          <w:tcPr>
            <w:tcW w:w="5681" w:type="dxa"/>
            <w:shd w:val="clear" w:color="auto" w:fill="auto"/>
          </w:tcPr>
          <w:p w:rsidR="001401FF" w:rsidRPr="000B198B" w:rsidRDefault="000F4C10"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de </w:t>
            </w:r>
            <w:r w:rsidR="00584413" w:rsidRPr="000B198B">
              <w:rPr>
                <w:rFonts w:eastAsia="SimSun" w:cs="Arial"/>
                <w:kern w:val="1"/>
                <w:lang w:eastAsia="zh-CN" w:bidi="hi-IN"/>
              </w:rPr>
              <w:t>retard pour démarrer les prestations</w:t>
            </w:r>
          </w:p>
        </w:tc>
        <w:tc>
          <w:tcPr>
            <w:tcW w:w="3381" w:type="dxa"/>
            <w:shd w:val="clear" w:color="auto" w:fill="auto"/>
          </w:tcPr>
          <w:p w:rsidR="001401FF" w:rsidRPr="000B198B" w:rsidRDefault="00584413" w:rsidP="001A1E11">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50 € par jour ouvrable de retard</w:t>
            </w:r>
          </w:p>
        </w:tc>
      </w:tr>
      <w:tr w:rsidR="001401FF" w:rsidRPr="00421A64" w:rsidTr="00614EAB">
        <w:trPr>
          <w:trHeight w:val="397"/>
        </w:trPr>
        <w:tc>
          <w:tcPr>
            <w:tcW w:w="5681" w:type="dxa"/>
            <w:shd w:val="clear" w:color="auto" w:fill="auto"/>
          </w:tcPr>
          <w:p w:rsidR="001401FF" w:rsidRPr="000B198B" w:rsidRDefault="000F4C10"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de retard </w:t>
            </w:r>
            <w:r w:rsidR="00584413" w:rsidRPr="000B198B">
              <w:rPr>
                <w:rFonts w:eastAsia="SimSun" w:cs="Arial"/>
                <w:kern w:val="1"/>
                <w:lang w:eastAsia="zh-CN" w:bidi="hi-IN"/>
              </w:rPr>
              <w:t>dans l’exécution des prestations</w:t>
            </w:r>
          </w:p>
        </w:tc>
        <w:tc>
          <w:tcPr>
            <w:tcW w:w="3381" w:type="dxa"/>
            <w:shd w:val="clear" w:color="auto" w:fill="auto"/>
          </w:tcPr>
          <w:p w:rsidR="001401FF" w:rsidRPr="000B198B" w:rsidRDefault="00584413" w:rsidP="001A1E11">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50 € par jour ouvrable de retard</w:t>
            </w:r>
          </w:p>
        </w:tc>
      </w:tr>
      <w:tr w:rsidR="001401FF" w:rsidRPr="00421A64" w:rsidTr="00614EAB">
        <w:trPr>
          <w:trHeight w:val="397"/>
        </w:trPr>
        <w:tc>
          <w:tcPr>
            <w:tcW w:w="5681" w:type="dxa"/>
            <w:shd w:val="clear" w:color="auto" w:fill="auto"/>
          </w:tcPr>
          <w:p w:rsidR="001401FF" w:rsidRPr="000B198B" w:rsidRDefault="000F4C10"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de retard </w:t>
            </w:r>
            <w:r w:rsidR="00584413" w:rsidRPr="000B198B">
              <w:rPr>
                <w:rFonts w:eastAsia="SimSun" w:cs="Arial"/>
                <w:kern w:val="1"/>
                <w:lang w:eastAsia="zh-CN" w:bidi="hi-IN"/>
              </w:rPr>
              <w:t>pour effectuer une vérification</w:t>
            </w:r>
          </w:p>
        </w:tc>
        <w:tc>
          <w:tcPr>
            <w:tcW w:w="3381" w:type="dxa"/>
            <w:shd w:val="clear" w:color="auto" w:fill="auto"/>
          </w:tcPr>
          <w:p w:rsidR="001401FF" w:rsidRPr="000B198B" w:rsidRDefault="00584413" w:rsidP="001A1E11">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50 € par jour ouvrable de retard</w:t>
            </w:r>
          </w:p>
        </w:tc>
      </w:tr>
      <w:tr w:rsidR="000F4C10" w:rsidRPr="00421A64" w:rsidTr="00614EAB">
        <w:trPr>
          <w:trHeight w:val="397"/>
        </w:trPr>
        <w:tc>
          <w:tcPr>
            <w:tcW w:w="5681" w:type="dxa"/>
            <w:shd w:val="clear" w:color="auto" w:fill="auto"/>
          </w:tcPr>
          <w:p w:rsidR="000F4C10" w:rsidRPr="000B198B" w:rsidRDefault="000F4C10"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de retard </w:t>
            </w:r>
            <w:r w:rsidR="00584413" w:rsidRPr="000B198B">
              <w:rPr>
                <w:rFonts w:eastAsia="SimSun" w:cs="Arial"/>
                <w:kern w:val="1"/>
                <w:lang w:eastAsia="zh-CN" w:bidi="hi-IN"/>
              </w:rPr>
              <w:t>pour fournir le bon d’intervention</w:t>
            </w:r>
          </w:p>
        </w:tc>
        <w:tc>
          <w:tcPr>
            <w:tcW w:w="3381" w:type="dxa"/>
            <w:shd w:val="clear" w:color="auto" w:fill="auto"/>
          </w:tcPr>
          <w:p w:rsidR="000F4C10" w:rsidRPr="000B198B" w:rsidRDefault="00584413" w:rsidP="001A1E11">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50 € par jour ouvrable de retard</w:t>
            </w:r>
          </w:p>
        </w:tc>
      </w:tr>
      <w:tr w:rsidR="00005B28" w:rsidRPr="00421A64" w:rsidTr="00B433AD">
        <w:trPr>
          <w:trHeight w:val="358"/>
        </w:trPr>
        <w:tc>
          <w:tcPr>
            <w:tcW w:w="5681" w:type="dxa"/>
            <w:shd w:val="clear" w:color="auto" w:fill="auto"/>
          </w:tcPr>
          <w:p w:rsidR="00005B28" w:rsidRPr="000B198B" w:rsidRDefault="00005B28"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w:t>
            </w:r>
            <w:r w:rsidR="00584413" w:rsidRPr="000B198B">
              <w:rPr>
                <w:rFonts w:eastAsia="SimSun" w:cs="Arial"/>
                <w:kern w:val="1"/>
                <w:lang w:eastAsia="zh-CN" w:bidi="hi-IN"/>
              </w:rPr>
              <w:t>de retard pour fournir le rapport de vérification</w:t>
            </w:r>
          </w:p>
        </w:tc>
        <w:tc>
          <w:tcPr>
            <w:tcW w:w="3381" w:type="dxa"/>
            <w:shd w:val="clear" w:color="auto" w:fill="auto"/>
          </w:tcPr>
          <w:p w:rsidR="00005B28" w:rsidRPr="000B198B" w:rsidRDefault="00584413" w:rsidP="00005B28">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50 € par jour ouvrable de retard</w:t>
            </w:r>
          </w:p>
        </w:tc>
      </w:tr>
      <w:tr w:rsidR="00005B28" w:rsidRPr="00421A64" w:rsidTr="00614EAB">
        <w:trPr>
          <w:trHeight w:val="397"/>
        </w:trPr>
        <w:tc>
          <w:tcPr>
            <w:tcW w:w="5681" w:type="dxa"/>
            <w:shd w:val="clear" w:color="auto" w:fill="auto"/>
          </w:tcPr>
          <w:p w:rsidR="00005B28" w:rsidRPr="000B198B" w:rsidRDefault="00893ADB" w:rsidP="00584413">
            <w:pPr>
              <w:widowControl w:val="0"/>
              <w:suppressAutoHyphens/>
              <w:spacing w:after="0" w:line="240" w:lineRule="auto"/>
              <w:jc w:val="left"/>
              <w:rPr>
                <w:rFonts w:eastAsia="SimSun" w:cs="Arial"/>
                <w:kern w:val="1"/>
                <w:lang w:eastAsia="zh-CN" w:bidi="hi-IN"/>
              </w:rPr>
            </w:pPr>
            <w:r w:rsidRPr="000B198B">
              <w:rPr>
                <w:rFonts w:eastAsia="SimSun" w:cs="Arial"/>
                <w:kern w:val="1"/>
                <w:lang w:eastAsia="zh-CN" w:bidi="hi-IN"/>
              </w:rPr>
              <w:t xml:space="preserve">En cas de </w:t>
            </w:r>
            <w:r w:rsidR="00584413" w:rsidRPr="000B198B">
              <w:rPr>
                <w:rFonts w:eastAsia="SimSun" w:cs="Arial"/>
                <w:kern w:val="1"/>
                <w:lang w:eastAsia="zh-CN" w:bidi="hi-IN"/>
              </w:rPr>
              <w:t>non-respect des obligations relatives à l’hygiène et la sécurité sur le chantier (qu’il s’agisse de dispositions règlementaires ou de demandes du maître d’ouvrage spécifiées dans les documents particuliers du marché)</w:t>
            </w:r>
          </w:p>
        </w:tc>
        <w:tc>
          <w:tcPr>
            <w:tcW w:w="3381" w:type="dxa"/>
            <w:shd w:val="clear" w:color="auto" w:fill="auto"/>
          </w:tcPr>
          <w:p w:rsidR="00005B28" w:rsidRPr="000B198B" w:rsidRDefault="00584413" w:rsidP="0004181C">
            <w:pPr>
              <w:widowControl w:val="0"/>
              <w:suppressAutoHyphens/>
              <w:spacing w:after="0" w:line="240" w:lineRule="auto"/>
              <w:jc w:val="center"/>
              <w:rPr>
                <w:rFonts w:eastAsia="SimSun" w:cs="Arial"/>
                <w:kern w:val="1"/>
                <w:lang w:eastAsia="zh-CN" w:bidi="hi-IN"/>
              </w:rPr>
            </w:pPr>
            <w:r w:rsidRPr="000B198B">
              <w:rPr>
                <w:rFonts w:eastAsia="SimSun" w:cs="Arial"/>
                <w:kern w:val="1"/>
                <w:lang w:eastAsia="zh-CN" w:bidi="hi-IN"/>
              </w:rPr>
              <w:t>100 € par jour ouvrable</w:t>
            </w:r>
            <w:r w:rsidR="008F669B" w:rsidRPr="000B198B">
              <w:rPr>
                <w:rFonts w:eastAsia="SimSun" w:cs="Arial"/>
                <w:kern w:val="1"/>
                <w:lang w:eastAsia="zh-CN" w:bidi="hi-IN"/>
              </w:rPr>
              <w:t xml:space="preserve"> à partir du non-</w:t>
            </w:r>
            <w:r w:rsidR="005C5BA3" w:rsidRPr="000B198B">
              <w:rPr>
                <w:rFonts w:eastAsia="SimSun" w:cs="Arial"/>
                <w:kern w:val="1"/>
                <w:lang w:eastAsia="zh-CN" w:bidi="hi-IN"/>
              </w:rPr>
              <w:t>respect jusqu’à la remise en état</w:t>
            </w:r>
          </w:p>
        </w:tc>
      </w:tr>
    </w:tbl>
    <w:p w:rsidR="000F4C10" w:rsidRDefault="00EF700E" w:rsidP="00EF700E">
      <w:pPr>
        <w:spacing w:after="0" w:line="240" w:lineRule="auto"/>
        <w:rPr>
          <w:rFonts w:eastAsia="Calibri" w:cs="Arial"/>
        </w:rPr>
      </w:pP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p>
    <w:p w:rsidR="000F4C10" w:rsidRPr="000F4C10" w:rsidRDefault="000F4C10" w:rsidP="000F4C10">
      <w:pPr>
        <w:spacing w:after="0" w:line="240" w:lineRule="auto"/>
        <w:rPr>
          <w:rFonts w:eastAsia="Calibri" w:cs="Arial"/>
        </w:rPr>
      </w:pPr>
      <w:r w:rsidRPr="000F4C10">
        <w:rPr>
          <w:rFonts w:eastAsia="Calibri" w:cs="Arial"/>
        </w:rPr>
        <w:t xml:space="preserve">Les pénalités pour retard commencent à courir le lendemain du jour où le délai contractuel d'exécution des prestations est expiré. </w:t>
      </w:r>
    </w:p>
    <w:p w:rsidR="000F4C10" w:rsidRPr="000F4C10" w:rsidRDefault="000F4C10" w:rsidP="000F4C10">
      <w:pPr>
        <w:spacing w:after="0" w:line="240" w:lineRule="auto"/>
        <w:rPr>
          <w:rFonts w:eastAsia="Calibri" w:cs="Arial"/>
        </w:rPr>
      </w:pPr>
    </w:p>
    <w:p w:rsidR="00F1020E" w:rsidRPr="00EF700E" w:rsidRDefault="000F4C10" w:rsidP="00EF700E">
      <w:pPr>
        <w:spacing w:after="0" w:line="240" w:lineRule="auto"/>
        <w:rPr>
          <w:rFonts w:eastAsia="Calibri" w:cs="Arial"/>
        </w:rPr>
      </w:pPr>
      <w:r w:rsidRPr="000F4C10">
        <w:rPr>
          <w:rFonts w:eastAsia="Calibri" w:cs="Arial"/>
        </w:rPr>
        <w:t xml:space="preserve">Les pénalités pour retard commencent à courir dès la première minute de retard.  </w:t>
      </w:r>
    </w:p>
    <w:p w:rsidR="00EF700E" w:rsidRPr="00EF700E" w:rsidRDefault="00EF700E" w:rsidP="0085283E">
      <w:pPr>
        <w:pStyle w:val="Titre1"/>
        <w:rPr>
          <w:rFonts w:eastAsia="Times New Roman" w:cs="Times New Roman"/>
          <w:u w:val="single"/>
          <w:lang w:eastAsia="fr-FR"/>
        </w:rPr>
      </w:pPr>
      <w:bookmarkStart w:id="24" w:name="_Toc184896407"/>
      <w:r w:rsidRPr="00EF700E">
        <w:rPr>
          <w:rFonts w:eastAsia="Times New Roman"/>
          <w:lang w:eastAsia="fr-FR"/>
        </w:rPr>
        <w:t>ARTICLE</w:t>
      </w:r>
      <w:r w:rsidR="00EA67B1">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24"/>
    </w:p>
    <w:p w:rsidR="00EF700E" w:rsidRPr="00EF700E" w:rsidRDefault="00EF700E" w:rsidP="00EF700E">
      <w:pPr>
        <w:widowControl w:val="0"/>
        <w:overflowPunct w:val="0"/>
        <w:autoSpaceDE w:val="0"/>
        <w:autoSpaceDN w:val="0"/>
        <w:adjustRightInd w:val="0"/>
        <w:spacing w:after="0" w:line="240" w:lineRule="auto"/>
        <w:rPr>
          <w:rFonts w:eastAsia="Calibri" w:cs="Arial"/>
        </w:rPr>
      </w:pPr>
    </w:p>
    <w:p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Le</w:t>
      </w:r>
      <w:r w:rsidRPr="00EA67B1">
        <w:rPr>
          <w:rFonts w:eastAsia="Arial" w:cs="Arial"/>
          <w:lang w:eastAsia="fr-FR"/>
        </w:rPr>
        <w:t xml:space="preserve"> </w:t>
      </w:r>
      <w:r w:rsidRPr="00EA67B1">
        <w:rPr>
          <w:rFonts w:eastAsia="Times New Roman" w:cs="Arial"/>
          <w:lang w:eastAsia="fr-FR"/>
        </w:rPr>
        <w:t>titulaire</w:t>
      </w:r>
      <w:r w:rsidRPr="00EA67B1">
        <w:rPr>
          <w:rFonts w:eastAsia="Arial" w:cs="Arial"/>
          <w:lang w:eastAsia="fr-FR"/>
        </w:rPr>
        <w:t xml:space="preserve"> </w:t>
      </w:r>
      <w:r w:rsidRPr="00EA67B1">
        <w:rPr>
          <w:rFonts w:eastAsia="Times New Roman" w:cs="Arial"/>
          <w:lang w:eastAsia="fr-FR"/>
        </w:rPr>
        <w:t>doit</w:t>
      </w:r>
      <w:r w:rsidRPr="00EA67B1">
        <w:rPr>
          <w:rFonts w:eastAsia="Arial" w:cs="Arial"/>
          <w:lang w:eastAsia="fr-FR"/>
        </w:rPr>
        <w:t xml:space="preserve"> </w:t>
      </w:r>
      <w:r w:rsidRPr="00EA67B1">
        <w:rPr>
          <w:rFonts w:eastAsia="Times New Roman" w:cs="Arial"/>
          <w:lang w:eastAsia="fr-FR"/>
        </w:rPr>
        <w:t>posséder</w:t>
      </w:r>
      <w:r w:rsidRPr="00EA67B1">
        <w:rPr>
          <w:rFonts w:eastAsia="Arial" w:cs="Arial"/>
          <w:lang w:eastAsia="fr-FR"/>
        </w:rPr>
        <w:t xml:space="preserve"> </w:t>
      </w:r>
      <w:r w:rsidRPr="00EA67B1">
        <w:rPr>
          <w:rFonts w:eastAsia="Times New Roman" w:cs="Arial"/>
          <w:lang w:eastAsia="fr-FR"/>
        </w:rPr>
        <w:t>une</w:t>
      </w:r>
      <w:r w:rsidRPr="00EA67B1">
        <w:rPr>
          <w:rFonts w:eastAsia="Arial" w:cs="Arial"/>
          <w:lang w:eastAsia="fr-FR"/>
        </w:rPr>
        <w:t xml:space="preserve"> </w:t>
      </w:r>
      <w:r w:rsidRPr="00EA67B1">
        <w:rPr>
          <w:rFonts w:eastAsia="Times New Roman" w:cs="Arial"/>
          <w:lang w:eastAsia="fr-FR"/>
        </w:rPr>
        <w:t>assurance</w:t>
      </w:r>
      <w:r w:rsidRPr="00EA67B1">
        <w:rPr>
          <w:rFonts w:eastAsia="Arial" w:cs="Arial"/>
          <w:lang w:eastAsia="fr-FR"/>
        </w:rPr>
        <w:t xml:space="preserve"> </w:t>
      </w:r>
      <w:r w:rsidRPr="00EA67B1">
        <w:rPr>
          <w:rFonts w:eastAsia="Times New Roman" w:cs="Arial"/>
          <w:lang w:eastAsia="fr-FR"/>
        </w:rPr>
        <w:t>garantissant</w:t>
      </w:r>
      <w:r w:rsidRPr="00EA67B1">
        <w:rPr>
          <w:rFonts w:eastAsia="Arial" w:cs="Arial"/>
          <w:lang w:eastAsia="fr-FR"/>
        </w:rPr>
        <w:t xml:space="preserve"> </w:t>
      </w:r>
      <w:r w:rsidRPr="00EA67B1">
        <w:rPr>
          <w:rFonts w:eastAsia="Times New Roman" w:cs="Arial"/>
          <w:lang w:eastAsia="fr-FR"/>
        </w:rPr>
        <w:t>sa</w:t>
      </w:r>
      <w:r w:rsidRPr="00EA67B1">
        <w:rPr>
          <w:rFonts w:eastAsia="Arial" w:cs="Arial"/>
          <w:lang w:eastAsia="fr-FR"/>
        </w:rPr>
        <w:t xml:space="preserve"> </w:t>
      </w:r>
      <w:r w:rsidRPr="00EA67B1">
        <w:rPr>
          <w:rFonts w:eastAsia="Times New Roman" w:cs="Arial"/>
          <w:lang w:eastAsia="fr-FR"/>
        </w:rPr>
        <w:t>responsabilité</w:t>
      </w:r>
      <w:r w:rsidRPr="00EA67B1">
        <w:rPr>
          <w:rFonts w:eastAsia="Arial" w:cs="Arial"/>
          <w:lang w:eastAsia="fr-FR"/>
        </w:rPr>
        <w:t xml:space="preserve"> </w:t>
      </w:r>
      <w:r w:rsidRPr="00EA67B1">
        <w:rPr>
          <w:rFonts w:eastAsia="Times New Roman" w:cs="Arial"/>
          <w:lang w:eastAsia="fr-FR"/>
        </w:rPr>
        <w:t>à</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égard</w:t>
      </w:r>
      <w:r w:rsidRPr="00EA67B1">
        <w:rPr>
          <w:rFonts w:eastAsia="Arial" w:cs="Arial"/>
          <w:lang w:eastAsia="fr-FR"/>
        </w:rPr>
        <w:t xml:space="preserve"> de la ville et des </w:t>
      </w:r>
      <w:r w:rsidRPr="00EA67B1">
        <w:rPr>
          <w:rFonts w:eastAsia="Times New Roman" w:cs="Arial"/>
          <w:lang w:eastAsia="fr-FR"/>
        </w:rPr>
        <w:t>tiers</w:t>
      </w:r>
      <w:r w:rsidRPr="00EA67B1">
        <w:rPr>
          <w:rFonts w:eastAsia="Arial" w:cs="Arial"/>
          <w:lang w:eastAsia="fr-FR"/>
        </w:rPr>
        <w:t xml:space="preserve"> ou </w:t>
      </w:r>
      <w:r w:rsidRPr="00EA67B1">
        <w:rPr>
          <w:rFonts w:eastAsia="Times New Roman" w:cs="Arial"/>
          <w:lang w:eastAsia="fr-FR"/>
        </w:rPr>
        <w:t>victimes d’accidents ou de dommages causés par l’exécution des prestations conformément à l’article 9 du CCAG FCS.</w:t>
      </w:r>
    </w:p>
    <w:p w:rsidR="00EA67B1" w:rsidRPr="00EA67B1" w:rsidRDefault="00EA67B1" w:rsidP="00EA67B1">
      <w:pPr>
        <w:tabs>
          <w:tab w:val="num" w:pos="0"/>
        </w:tabs>
        <w:spacing w:after="0" w:line="240" w:lineRule="auto"/>
        <w:rPr>
          <w:rFonts w:eastAsia="Times New Roman" w:cs="Arial"/>
          <w:lang w:eastAsia="fr-FR"/>
        </w:rPr>
      </w:pPr>
    </w:p>
    <w:p w:rsidR="00EA67B1" w:rsidRPr="00EA67B1" w:rsidRDefault="00EA67B1" w:rsidP="00EA67B1">
      <w:pPr>
        <w:tabs>
          <w:tab w:val="num" w:pos="0"/>
        </w:tabs>
        <w:spacing w:after="0" w:line="240" w:lineRule="auto"/>
        <w:rPr>
          <w:rFonts w:eastAsia="Times New Roman" w:cs="Arial"/>
          <w:lang w:eastAsia="fr-FR"/>
        </w:rPr>
      </w:pPr>
      <w:r w:rsidRPr="00EA67B1">
        <w:rPr>
          <w:rFonts w:eastAsia="Times New Roman" w:cs="Arial"/>
          <w:lang w:eastAsia="fr-FR"/>
        </w:rPr>
        <w:t>La</w:t>
      </w:r>
      <w:r w:rsidRPr="00EA67B1">
        <w:rPr>
          <w:rFonts w:eastAsia="Arial" w:cs="Arial"/>
          <w:lang w:eastAsia="fr-FR"/>
        </w:rPr>
        <w:t xml:space="preserve"> </w:t>
      </w:r>
      <w:r w:rsidRPr="00EA67B1">
        <w:rPr>
          <w:rFonts w:eastAsia="Times New Roman" w:cs="Arial"/>
          <w:lang w:eastAsia="fr-FR"/>
        </w:rPr>
        <w:t>garantie</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suffisante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couvrir</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ensemble</w:t>
      </w:r>
      <w:r w:rsidRPr="00EA67B1">
        <w:rPr>
          <w:rFonts w:eastAsia="Arial" w:cs="Arial"/>
          <w:lang w:eastAsia="fr-FR"/>
        </w:rPr>
        <w:t xml:space="preserve"> </w:t>
      </w:r>
      <w:r w:rsidRPr="00EA67B1">
        <w:rPr>
          <w:rFonts w:eastAsia="Times New Roman" w:cs="Arial"/>
          <w:lang w:eastAsia="fr-FR"/>
        </w:rPr>
        <w:t>des</w:t>
      </w:r>
      <w:r w:rsidRPr="00EA67B1">
        <w:rPr>
          <w:rFonts w:eastAsia="Arial" w:cs="Arial"/>
          <w:lang w:eastAsia="fr-FR"/>
        </w:rPr>
        <w:t xml:space="preserve"> </w:t>
      </w:r>
      <w:r w:rsidRPr="00EA67B1">
        <w:rPr>
          <w:rFonts w:eastAsia="Times New Roman" w:cs="Arial"/>
          <w:lang w:eastAsia="fr-FR"/>
        </w:rPr>
        <w:t>risques</w:t>
      </w:r>
      <w:r w:rsidRPr="00EA67B1">
        <w:rPr>
          <w:rFonts w:eastAsia="Arial" w:cs="Arial"/>
          <w:lang w:eastAsia="fr-FR"/>
        </w:rPr>
        <w:t xml:space="preserve"> </w:t>
      </w:r>
      <w:r w:rsidRPr="00EA67B1">
        <w:rPr>
          <w:rFonts w:eastAsia="Times New Roman" w:cs="Arial"/>
          <w:lang w:eastAsia="fr-FR"/>
        </w:rPr>
        <w:t>et</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illimitée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les</w:t>
      </w:r>
      <w:r w:rsidRPr="00EA67B1">
        <w:rPr>
          <w:rFonts w:eastAsia="Arial" w:cs="Arial"/>
          <w:lang w:eastAsia="fr-FR"/>
        </w:rPr>
        <w:t xml:space="preserve"> </w:t>
      </w:r>
      <w:r w:rsidRPr="00EA67B1">
        <w:rPr>
          <w:rFonts w:eastAsia="Times New Roman" w:cs="Arial"/>
          <w:lang w:eastAsia="fr-FR"/>
        </w:rPr>
        <w:t>dommages</w:t>
      </w:r>
      <w:r w:rsidRPr="00EA67B1">
        <w:rPr>
          <w:rFonts w:eastAsia="Arial" w:cs="Arial"/>
          <w:lang w:eastAsia="fr-FR"/>
        </w:rPr>
        <w:t xml:space="preserve"> </w:t>
      </w:r>
      <w:r w:rsidRPr="00EA67B1">
        <w:rPr>
          <w:rFonts w:eastAsia="Times New Roman" w:cs="Arial"/>
          <w:lang w:eastAsia="fr-FR"/>
        </w:rPr>
        <w:t>corporels.</w:t>
      </w:r>
      <w:r w:rsidRPr="00EA67B1">
        <w:rPr>
          <w:rFonts w:eastAsia="Arial" w:cs="Arial"/>
          <w:lang w:eastAsia="fr-FR"/>
        </w:rPr>
        <w:t xml:space="preserve"> </w:t>
      </w:r>
    </w:p>
    <w:p w:rsidR="00EA67B1" w:rsidRPr="00EA67B1" w:rsidRDefault="00EA67B1" w:rsidP="00EA67B1">
      <w:pPr>
        <w:tabs>
          <w:tab w:val="num" w:pos="0"/>
          <w:tab w:val="left" w:pos="720"/>
          <w:tab w:val="left" w:pos="1080"/>
        </w:tabs>
        <w:spacing w:after="0" w:line="240" w:lineRule="auto"/>
        <w:rPr>
          <w:rFonts w:eastAsia="Times New Roman" w:cs="Arial"/>
          <w:lang w:eastAsia="fr-FR"/>
        </w:rPr>
      </w:pPr>
    </w:p>
    <w:p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Il doit justifier avant tout début d’exécution du marché qu’il est titulaire de ces contrats d’assurances, au moyen d’une attestation établissant l’étendue de la responsabilité garantie.</w:t>
      </w:r>
    </w:p>
    <w:p w:rsidR="00EA67B1" w:rsidRPr="00EA67B1" w:rsidRDefault="00EA67B1" w:rsidP="00EA67B1">
      <w:pPr>
        <w:tabs>
          <w:tab w:val="num" w:pos="0"/>
          <w:tab w:val="left" w:pos="720"/>
          <w:tab w:val="left" w:pos="1080"/>
        </w:tabs>
        <w:spacing w:after="0" w:line="240" w:lineRule="auto"/>
        <w:rPr>
          <w:rFonts w:eastAsia="Times New Roman" w:cs="Arial"/>
          <w:lang w:eastAsia="fr-FR"/>
        </w:rPr>
      </w:pPr>
    </w:p>
    <w:p w:rsid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 xml:space="preserve">A tout moment durant l’exécution du marché, le titulaire doit être en mesure de produire cette attestation, sur demande du pouvoir adjudicateur et dans un délai de quinze jours à compter de la réception de sa demande. </w:t>
      </w:r>
    </w:p>
    <w:p w:rsidR="00EF700E" w:rsidRDefault="00EF700E" w:rsidP="00EF700E">
      <w:pPr>
        <w:spacing w:after="0" w:line="240" w:lineRule="auto"/>
        <w:rPr>
          <w:rFonts w:ascii="Calibri" w:eastAsia="Calibri" w:hAnsi="Calibri" w:cs="Arial"/>
        </w:rPr>
      </w:pPr>
    </w:p>
    <w:p w:rsidR="00E81C81" w:rsidRDefault="00E81C81" w:rsidP="00E81C81">
      <w:pPr>
        <w:pStyle w:val="Titre1"/>
        <w:rPr>
          <w:rFonts w:eastAsia="Times New Roman"/>
          <w:lang w:eastAsia="fr-FR"/>
        </w:rPr>
      </w:pPr>
      <w:bookmarkStart w:id="25" w:name="_Toc175909006"/>
      <w:bookmarkStart w:id="26" w:name="_Toc177981423"/>
      <w:bookmarkStart w:id="27" w:name="_Toc183531397"/>
      <w:bookmarkStart w:id="28" w:name="_Toc184896408"/>
      <w:r>
        <w:rPr>
          <w:rFonts w:eastAsia="Times New Roman"/>
          <w:lang w:eastAsia="fr-FR"/>
        </w:rPr>
        <w:t>ARTICLE 13 – CONFIDENTIALITE – PROTECTION DES DONNEES PERSONNELLES – MESURES DE SECURITE</w:t>
      </w:r>
      <w:bookmarkEnd w:id="25"/>
      <w:bookmarkEnd w:id="26"/>
      <w:bookmarkEnd w:id="27"/>
      <w:bookmarkEnd w:id="28"/>
    </w:p>
    <w:p w:rsidR="00E81C81" w:rsidRDefault="00E81C81" w:rsidP="00E81C81">
      <w:pPr>
        <w:rPr>
          <w:lang w:eastAsia="fr-FR"/>
        </w:rPr>
      </w:pPr>
      <w:bookmarkStart w:id="29" w:name="_Toc169594269_Copie_1"/>
      <w:bookmarkEnd w:id="29"/>
    </w:p>
    <w:p w:rsidR="00E81C81" w:rsidRDefault="00E81C81" w:rsidP="00E81C81">
      <w:r>
        <w:rPr>
          <w:u w:val="single"/>
        </w:rPr>
        <w:t>Protection des données à caractère personnel :</w:t>
      </w:r>
    </w:p>
    <w:p w:rsidR="00E81C81" w:rsidRDefault="00E81C81" w:rsidP="00E81C81">
      <w:pPr>
        <w:rPr>
          <w:i/>
        </w:rPr>
      </w:pPr>
      <w:r>
        <w:rPr>
          <w:i/>
        </w:rPr>
        <w:t>Obligations générales :</w:t>
      </w:r>
    </w:p>
    <w:p w:rsidR="00E81C81" w:rsidRDefault="00E81C81" w:rsidP="00E81C81">
      <w:r>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rsidR="00E81C81" w:rsidRDefault="00E81C81" w:rsidP="00E81C81">
      <w:r>
        <w:t>- Garantir la confidentialité des données à caractère personnel traitées dans le cadre du présent contrat;</w:t>
      </w:r>
    </w:p>
    <w:p w:rsidR="00E81C81" w:rsidRDefault="00E81C81" w:rsidP="00E81C81">
      <w:r>
        <w:t>- Collecter et traiter les données personnelles uniquement dans la finalité poursuivie par l'exécution du marché ou de l'accord-cadre, ou en exécution d'une obligation légale, ou avec l'accord explicite du pouvoir adjudicateur ;</w:t>
      </w:r>
    </w:p>
    <w:p w:rsidR="00E81C81" w:rsidRDefault="00E81C81" w:rsidP="00E81C81">
      <w:r>
        <w:t>- Collecter et traiter les données conformément aux instructions données par le pouvoir adjudicateur et informer ce dernier de toute instruction qui conduirait à une violation du règlement européen pour la protection des données ;</w:t>
      </w:r>
    </w:p>
    <w:p w:rsidR="00E81C81" w:rsidRDefault="00E81C81" w:rsidP="00E81C81">
      <w:r>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rsidR="00E81C81" w:rsidRDefault="00E81C81" w:rsidP="00E81C81">
      <w:r>
        <w:t>Le titulaire communique au pouvoir adjudicateur le nom et les coordonnées de son délégué à la protection des données s'il en a désigné un en application de l'article 37 du Règlement Général sur la Protection des Données.</w:t>
      </w:r>
    </w:p>
    <w:p w:rsidR="00E81C81" w:rsidRDefault="00E81C81" w:rsidP="00E81C81">
      <w:r>
        <w:t>Le pouvoir adjudicateur s'engage à fournir au titulaire les données objet du traitement et à communiquer par écrit au sous-traitant (si concerné) les instructions concernant le traitement des données.</w:t>
      </w:r>
    </w:p>
    <w:p w:rsidR="00E81C81" w:rsidRDefault="00E81C81" w:rsidP="00E81C81">
      <w:pPr>
        <w:rPr>
          <w:i/>
        </w:rPr>
      </w:pPr>
      <w:r>
        <w:rPr>
          <w:i/>
        </w:rPr>
        <w:t>Sous-traitance :</w:t>
      </w:r>
    </w:p>
    <w:p w:rsidR="00E81C81" w:rsidRDefault="00E81C81" w:rsidP="00E81C81">
      <w:r>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rsidR="00E81C81" w:rsidRDefault="00E81C81" w:rsidP="00E81C81">
      <w:r>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rsidR="00E81C81" w:rsidRDefault="00E81C81" w:rsidP="00E81C81">
      <w:pPr>
        <w:rPr>
          <w:i/>
        </w:rPr>
      </w:pPr>
      <w:r>
        <w:rPr>
          <w:i/>
        </w:rPr>
        <w:t>Droit d'information des personnes concernées :</w:t>
      </w:r>
    </w:p>
    <w:p w:rsidR="00E81C81" w:rsidRDefault="00E81C81" w:rsidP="00E81C81">
      <w:r>
        <w:t>Le titulaire fournit aux personnes concernées, au moment de la collecte des données, l'information relative aux traitements des données réalisées, suivant la formulation et le format convenu avec le pouvoir adjudicateur.</w:t>
      </w:r>
    </w:p>
    <w:p w:rsidR="00E81C81" w:rsidRDefault="00E81C81" w:rsidP="00E81C81">
      <w:pPr>
        <w:rPr>
          <w:i/>
        </w:rPr>
      </w:pPr>
      <w:r>
        <w:rPr>
          <w:i/>
        </w:rPr>
        <w:t>Exercice des droits des personnes :</w:t>
      </w:r>
    </w:p>
    <w:p w:rsidR="00E81C81" w:rsidRDefault="00E81C81" w:rsidP="00E81C81">
      <w:r>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rsidR="00E81C81" w:rsidRDefault="00E81C81" w:rsidP="00E81C81">
      <w:r>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rsidR="00E81C81" w:rsidRDefault="00E81C81" w:rsidP="00E81C81">
      <w:pPr>
        <w:rPr>
          <w:i/>
        </w:rPr>
      </w:pPr>
      <w:r>
        <w:rPr>
          <w:i/>
        </w:rPr>
        <w:t>Notification des violations de données à caractère personnel :</w:t>
      </w:r>
    </w:p>
    <w:p w:rsidR="00E81C81" w:rsidRDefault="00E81C81" w:rsidP="00E81C81">
      <w:r>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rsidR="00E81C81" w:rsidRDefault="00E81C81" w:rsidP="00E81C81">
      <w:pPr>
        <w:rPr>
          <w:i/>
        </w:rPr>
      </w:pPr>
      <w:r>
        <w:rPr>
          <w:i/>
        </w:rPr>
        <w:t>Assistance du titulaire dans le cadre du respect par le pouvoir adjudicateur de ses obligations :</w:t>
      </w:r>
    </w:p>
    <w:p w:rsidR="00E81C81" w:rsidRDefault="00E81C81" w:rsidP="00E81C81">
      <w:r>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rsidR="00E81C81" w:rsidRDefault="00E81C81" w:rsidP="00E81C81">
      <w:pPr>
        <w:rPr>
          <w:i/>
        </w:rPr>
      </w:pPr>
      <w:r>
        <w:rPr>
          <w:i/>
        </w:rPr>
        <w:t>Mesures de sécurité :</w:t>
      </w:r>
    </w:p>
    <w:p w:rsidR="00E81C81" w:rsidRDefault="00E81C81" w:rsidP="00E81C81">
      <w:r>
        <w:t xml:space="preserve">Le titulaire s'engage à mettre en œuvre les mesures de sécurité garantissant un niveau de sécurité adapté au risque, en ce compris la </w:t>
      </w:r>
      <w:proofErr w:type="spellStart"/>
      <w:r>
        <w:t>pseudonymisation</w:t>
      </w:r>
      <w:proofErr w:type="spellEnd"/>
      <w:r>
        <w:t xml:space="preserve">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rsidR="00E81C81" w:rsidRDefault="00E81C81" w:rsidP="00E81C81">
      <w:pPr>
        <w:rPr>
          <w:i/>
        </w:rPr>
      </w:pPr>
      <w:r>
        <w:rPr>
          <w:i/>
        </w:rPr>
        <w:t>Registre des catégories d'activités de traitement :</w:t>
      </w:r>
    </w:p>
    <w:p w:rsidR="00E81C81" w:rsidRDefault="00E81C81" w:rsidP="00E81C81">
      <w:r>
        <w:t>Le titulaire déclare tenir un registre de toutes les catégories d'activités de traitement réalisées pour le compte du pouvoir adjudicateur conformément au Règlement général sur la protection des données.</w:t>
      </w:r>
    </w:p>
    <w:p w:rsidR="00E81C81" w:rsidRDefault="00E81C81" w:rsidP="00E81C81">
      <w:pPr>
        <w:rPr>
          <w:i/>
        </w:rPr>
      </w:pPr>
      <w:r>
        <w:rPr>
          <w:i/>
        </w:rPr>
        <w:t>Sort des données :</w:t>
      </w:r>
    </w:p>
    <w:p w:rsidR="00E81C81" w:rsidRPr="00E81C81" w:rsidRDefault="00E81C81" w:rsidP="00E81C81">
      <w:pPr>
        <w:rPr>
          <w:u w:val="single"/>
        </w:rPr>
      </w:pPr>
      <w:r>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rsidR="00E81C81" w:rsidRDefault="00E81C81" w:rsidP="00E81C81">
      <w:pPr>
        <w:pStyle w:val="Titre1"/>
        <w:rPr>
          <w:rFonts w:eastAsia="Calibri" w:cs="Arial"/>
        </w:rPr>
      </w:pPr>
      <w:bookmarkStart w:id="30" w:name="_Toc183531398"/>
      <w:bookmarkStart w:id="31" w:name="_Toc184896409"/>
      <w:r>
        <w:rPr>
          <w:rFonts w:eastAsia="Times New Roman"/>
          <w:lang w:eastAsia="fr-FR"/>
        </w:rPr>
        <w:t>ARTICLE 14 – RESILIATION DU MARCHE</w:t>
      </w:r>
      <w:bookmarkEnd w:id="30"/>
      <w:bookmarkEnd w:id="31"/>
    </w:p>
    <w:p w:rsidR="00E81C81" w:rsidRDefault="00E81C81" w:rsidP="00E81C81">
      <w:pPr>
        <w:tabs>
          <w:tab w:val="left" w:pos="0"/>
          <w:tab w:val="left" w:pos="720"/>
          <w:tab w:val="left" w:pos="1080"/>
        </w:tabs>
        <w:spacing w:after="0" w:line="240" w:lineRule="auto"/>
        <w:rPr>
          <w:rFonts w:eastAsia="Times New Roman" w:cs="Arial"/>
          <w:lang w:eastAsia="fr-FR"/>
        </w:rPr>
      </w:pPr>
      <w:r>
        <w:rPr>
          <w:rFonts w:eastAsia="Times New Roman" w:cs="Arial"/>
          <w:lang w:eastAsia="fr-FR"/>
        </w:rPr>
        <w:br/>
        <w:t>Les modalités de résiliation du marché sont celles prévues aux articles L 2195-1 à L. 2195-6 du code de la commande publique et de 38 à 45 du CCAG-</w:t>
      </w:r>
      <w:r>
        <w:rPr>
          <w:rFonts w:eastAsia="Times New Roman" w:cs="Arial"/>
          <w:color w:val="000000"/>
          <w:lang w:eastAsia="ar-SA"/>
        </w:rPr>
        <w:t>FCS 2021</w:t>
      </w:r>
      <w:r>
        <w:rPr>
          <w:rFonts w:eastAsia="Times New Roman" w:cs="Arial"/>
          <w:lang w:eastAsia="fr-FR"/>
        </w:rPr>
        <w:t>.</w:t>
      </w:r>
    </w:p>
    <w:p w:rsidR="00E81C81" w:rsidRDefault="00E81C81" w:rsidP="00E81C81">
      <w:pPr>
        <w:tabs>
          <w:tab w:val="left" w:pos="0"/>
          <w:tab w:val="left" w:pos="720"/>
          <w:tab w:val="left" w:pos="1080"/>
        </w:tabs>
        <w:spacing w:after="0" w:line="240" w:lineRule="auto"/>
        <w:rPr>
          <w:rFonts w:eastAsia="Times New Roman" w:cs="Arial"/>
          <w:lang w:eastAsia="fr-FR"/>
        </w:rPr>
      </w:pPr>
    </w:p>
    <w:p w:rsidR="00E81C81" w:rsidRDefault="00E81C81" w:rsidP="00E81C81">
      <w:pPr>
        <w:tabs>
          <w:tab w:val="left" w:pos="0"/>
          <w:tab w:val="left" w:pos="720"/>
          <w:tab w:val="left" w:pos="1080"/>
        </w:tabs>
        <w:spacing w:after="0" w:line="240" w:lineRule="auto"/>
        <w:rPr>
          <w:rFonts w:eastAsia="Times New Roman" w:cs="Arial"/>
          <w:u w:val="single"/>
          <w:lang w:eastAsia="fr-FR"/>
        </w:rPr>
      </w:pPr>
      <w:r>
        <w:rPr>
          <w:rFonts w:eastAsia="Times New Roman" w:cs="Arial"/>
          <w:u w:val="single"/>
          <w:lang w:eastAsia="fr-FR"/>
        </w:rPr>
        <w:t>Précisions sur la r</w:t>
      </w:r>
      <w:r>
        <w:rPr>
          <w:rFonts w:cs="Arial"/>
          <w:u w:val="single"/>
          <w:lang w:eastAsia="fr-FR"/>
        </w:rPr>
        <w:t xml:space="preserve">ésiliation pour faute </w:t>
      </w:r>
      <w:r>
        <w:rPr>
          <w:rFonts w:eastAsia="Times New Roman" w:cs="Arial"/>
          <w:u w:val="single"/>
          <w:lang w:eastAsia="fr-FR"/>
        </w:rPr>
        <w:t xml:space="preserve">(article 41 du CCAG FCS) : </w:t>
      </w:r>
    </w:p>
    <w:p w:rsidR="00E81C81" w:rsidRDefault="00E81C81" w:rsidP="00E81C81">
      <w:pPr>
        <w:tabs>
          <w:tab w:val="left" w:pos="0"/>
          <w:tab w:val="left" w:pos="720"/>
          <w:tab w:val="left" w:pos="1080"/>
        </w:tabs>
        <w:spacing w:after="0" w:line="240" w:lineRule="auto"/>
        <w:rPr>
          <w:rFonts w:eastAsia="Times New Roman" w:cs="Arial"/>
          <w:lang w:eastAsia="fr-FR"/>
        </w:rPr>
      </w:pPr>
    </w:p>
    <w:p w:rsidR="00E81C81" w:rsidRDefault="00E81C81" w:rsidP="00E81C81">
      <w:pPr>
        <w:tabs>
          <w:tab w:val="left" w:pos="0"/>
          <w:tab w:val="left" w:pos="720"/>
          <w:tab w:val="left" w:pos="1080"/>
        </w:tabs>
        <w:spacing w:after="0" w:line="240" w:lineRule="auto"/>
        <w:rPr>
          <w:rFonts w:eastAsia="Times New Roman" w:cs="Arial"/>
          <w:lang w:eastAsia="fr-FR"/>
        </w:rPr>
      </w:pPr>
      <w:r>
        <w:rPr>
          <w:rFonts w:eastAsia="Times New Roman" w:cs="Arial"/>
          <w:lang w:eastAsia="fr-FR"/>
        </w:rPr>
        <w:t>La résiliation pour faute du titulaire pourra être prononcée si celui-ci ne s’est pas acquitté de ses obligations dans les conditions fixées dans les pièces constitutives du marché.</w:t>
      </w:r>
    </w:p>
    <w:p w:rsidR="00E81C81" w:rsidRDefault="00E81C81" w:rsidP="00E81C81">
      <w:pPr>
        <w:tabs>
          <w:tab w:val="left" w:pos="0"/>
          <w:tab w:val="left" w:pos="720"/>
          <w:tab w:val="left" w:pos="1080"/>
        </w:tabs>
        <w:spacing w:after="0" w:line="240" w:lineRule="auto"/>
        <w:rPr>
          <w:rFonts w:eastAsia="Times New Roman" w:cs="Arial"/>
          <w:lang w:eastAsia="fr-FR"/>
        </w:rPr>
      </w:pPr>
    </w:p>
    <w:p w:rsidR="00E81C81" w:rsidRDefault="00E81C81" w:rsidP="00E81C81">
      <w:pPr>
        <w:tabs>
          <w:tab w:val="left" w:pos="0"/>
          <w:tab w:val="left" w:pos="720"/>
          <w:tab w:val="left" w:pos="1080"/>
        </w:tabs>
        <w:spacing w:after="0" w:line="240" w:lineRule="auto"/>
        <w:rPr>
          <w:rFonts w:eastAsia="Times New Roman" w:cs="Arial"/>
          <w:lang w:eastAsia="fr-FR"/>
        </w:rPr>
      </w:pPr>
      <w:r>
        <w:rPr>
          <w:rFonts w:eastAsia="Times New Roman" w:cs="Arial"/>
          <w:lang w:eastAsia="fr-FR"/>
        </w:rPr>
        <w:t>En application de l’article 45 du CCAG FCS, le pouvoir adjudicateur peut faire procéder par un tiers à l’exécution des prestations prévues par le marché, aux frais et risques du titulaire, soit en cas d’inexécution par ce dernier d’une prestation qui par nature ne peut souffrir d’aucun retard, soit en cas de résiliation prononcée aux torts du titulaire.</w:t>
      </w:r>
    </w:p>
    <w:p w:rsidR="00E81C81" w:rsidRDefault="00E81C81" w:rsidP="00E81C81">
      <w:pPr>
        <w:tabs>
          <w:tab w:val="left" w:pos="0"/>
          <w:tab w:val="left" w:pos="720"/>
          <w:tab w:val="left" w:pos="1080"/>
        </w:tabs>
        <w:spacing w:after="0" w:line="240" w:lineRule="auto"/>
        <w:rPr>
          <w:rFonts w:eastAsia="Times New Roman" w:cs="Arial"/>
          <w:lang w:eastAsia="fr-FR"/>
        </w:rPr>
      </w:pPr>
    </w:p>
    <w:p w:rsidR="00E81C81" w:rsidRDefault="00E81C81" w:rsidP="00E81C81">
      <w:pPr>
        <w:tabs>
          <w:tab w:val="left" w:pos="0"/>
          <w:tab w:val="left" w:pos="720"/>
          <w:tab w:val="left" w:pos="1080"/>
        </w:tabs>
        <w:spacing w:after="0" w:line="240" w:lineRule="auto"/>
        <w:rPr>
          <w:rFonts w:eastAsia="Times New Roman" w:cs="Arial"/>
          <w:b/>
          <w:lang w:eastAsia="fr-FR"/>
        </w:rPr>
      </w:pPr>
      <w:r>
        <w:rPr>
          <w:rFonts w:eastAsia="Times New Roman" w:cs="Arial"/>
          <w:b/>
          <w:lang w:eastAsia="fr-FR"/>
        </w:rPr>
        <w:t>L’augmentation des dépenses, par rapport au prix du marché, résultant de l’exécution des prestations aux frais et risques du titulaire, est à la charge de celui-ci. La diminution des dépenses ne lui profite pas.</w:t>
      </w:r>
    </w:p>
    <w:p w:rsidR="00E81C81" w:rsidRDefault="00E81C81" w:rsidP="00E81C81">
      <w:pPr>
        <w:pStyle w:val="Titre1"/>
        <w:rPr>
          <w:rFonts w:eastAsia="Times New Roman" w:cs="Times New Roman"/>
          <w:szCs w:val="22"/>
          <w:u w:val="single"/>
          <w:lang w:eastAsia="fr-FR"/>
        </w:rPr>
      </w:pPr>
      <w:bookmarkStart w:id="32" w:name="_Toc183531399"/>
      <w:bookmarkStart w:id="33" w:name="_Toc184896410"/>
      <w:r>
        <w:rPr>
          <w:rFonts w:eastAsia="Times New Roman"/>
          <w:szCs w:val="22"/>
          <w:lang w:eastAsia="fr-FR"/>
        </w:rPr>
        <w:t>ARTICLE 15 – TRIBUNAL COMPETENT</w:t>
      </w:r>
      <w:bookmarkEnd w:id="32"/>
      <w:bookmarkEnd w:id="33"/>
    </w:p>
    <w:p w:rsidR="00E81C81" w:rsidRDefault="00E81C81" w:rsidP="00E81C81">
      <w:pPr>
        <w:spacing w:after="0" w:line="240" w:lineRule="auto"/>
        <w:rPr>
          <w:rFonts w:eastAsia="Calibri" w:cs="Arial"/>
        </w:rPr>
      </w:pPr>
    </w:p>
    <w:p w:rsidR="00E81C81" w:rsidRDefault="00E81C81" w:rsidP="00E81C81">
      <w:pPr>
        <w:keepNext/>
        <w:keepLines/>
        <w:spacing w:before="40" w:after="0"/>
        <w:ind w:left="708"/>
        <w:outlineLvl w:val="1"/>
        <w:rPr>
          <w:rFonts w:cs="Arial"/>
          <w:b/>
        </w:rPr>
      </w:pPr>
      <w:bookmarkStart w:id="34" w:name="_Toc175047819"/>
      <w:bookmarkStart w:id="35" w:name="_Toc177981426"/>
      <w:bookmarkStart w:id="36" w:name="_Toc183531400"/>
      <w:bookmarkStart w:id="37" w:name="_Toc184896411"/>
      <w:r>
        <w:rPr>
          <w:rFonts w:cs="Arial"/>
          <w:b/>
        </w:rPr>
        <w:t>15.1 Recours à l’amiable</w:t>
      </w:r>
      <w:bookmarkEnd w:id="34"/>
      <w:bookmarkEnd w:id="35"/>
      <w:bookmarkEnd w:id="36"/>
      <w:bookmarkEnd w:id="37"/>
      <w:r>
        <w:rPr>
          <w:rFonts w:cs="Arial"/>
          <w:b/>
        </w:rPr>
        <w:t xml:space="preserve"> </w:t>
      </w:r>
    </w:p>
    <w:p w:rsidR="00E81C81" w:rsidRDefault="00E81C81" w:rsidP="00E81C81">
      <w:pPr>
        <w:spacing w:after="0" w:line="240" w:lineRule="auto"/>
        <w:rPr>
          <w:rFonts w:cs="Arial"/>
        </w:rPr>
      </w:pPr>
    </w:p>
    <w:p w:rsidR="00E81C81" w:rsidRDefault="00E81C81" w:rsidP="00E81C81">
      <w:pPr>
        <w:spacing w:after="0" w:line="240" w:lineRule="auto"/>
        <w:rPr>
          <w:rFonts w:cs="Arial"/>
        </w:rPr>
      </w:pPr>
      <w:r>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rsidR="00E81C81" w:rsidRDefault="00E81C81" w:rsidP="00E81C81">
      <w:pPr>
        <w:spacing w:after="0" w:line="240" w:lineRule="auto"/>
        <w:rPr>
          <w:rFonts w:cs="Arial"/>
        </w:rPr>
      </w:pPr>
    </w:p>
    <w:p w:rsidR="00E81C81" w:rsidRDefault="00E81C81" w:rsidP="00E81C81">
      <w:pPr>
        <w:spacing w:after="0" w:line="240" w:lineRule="auto"/>
        <w:rPr>
          <w:rFonts w:cs="Arial"/>
        </w:rPr>
      </w:pPr>
      <w:r>
        <w:rPr>
          <w:rFonts w:cs="Arial"/>
        </w:rPr>
        <w:t>Le Comité consultatif interrégional de règlement amiable des différends relatifs aux marchés publics compétent est :</w:t>
      </w:r>
    </w:p>
    <w:p w:rsidR="00E81C81" w:rsidRDefault="00E81C81" w:rsidP="00E81C81">
      <w:pPr>
        <w:spacing w:after="0" w:line="240" w:lineRule="auto"/>
        <w:jc w:val="center"/>
        <w:rPr>
          <w:rFonts w:cs="Arial"/>
        </w:rPr>
      </w:pPr>
      <w:r>
        <w:rPr>
          <w:rFonts w:cs="Arial"/>
        </w:rPr>
        <w:t>Le CCIRA de Nancy</w:t>
      </w:r>
    </w:p>
    <w:p w:rsidR="00E81C81" w:rsidRDefault="00E81C81" w:rsidP="00E81C81">
      <w:pPr>
        <w:spacing w:after="0" w:line="240" w:lineRule="auto"/>
        <w:jc w:val="center"/>
        <w:rPr>
          <w:rFonts w:cs="Arial"/>
        </w:rPr>
      </w:pPr>
      <w:r>
        <w:rPr>
          <w:rFonts w:cs="Arial"/>
        </w:rPr>
        <w:t>Préfecture de Meurthe et Moselle</w:t>
      </w:r>
    </w:p>
    <w:p w:rsidR="00E81C81" w:rsidRDefault="00E81C81" w:rsidP="00E81C81">
      <w:pPr>
        <w:spacing w:after="0" w:line="240" w:lineRule="auto"/>
        <w:jc w:val="center"/>
        <w:rPr>
          <w:rFonts w:cs="Arial"/>
        </w:rPr>
      </w:pPr>
      <w:r>
        <w:rPr>
          <w:rFonts w:cs="Arial"/>
        </w:rPr>
        <w:t xml:space="preserve">1 rue du Préfet Claude </w:t>
      </w:r>
      <w:proofErr w:type="spellStart"/>
      <w:r>
        <w:rPr>
          <w:rFonts w:cs="Arial"/>
        </w:rPr>
        <w:t>Erignac</w:t>
      </w:r>
      <w:proofErr w:type="spellEnd"/>
    </w:p>
    <w:p w:rsidR="00E81C81" w:rsidRDefault="00E81C81" w:rsidP="00E81C81">
      <w:pPr>
        <w:spacing w:after="0" w:line="240" w:lineRule="auto"/>
        <w:jc w:val="center"/>
        <w:rPr>
          <w:rFonts w:cs="Arial"/>
        </w:rPr>
      </w:pPr>
      <w:r>
        <w:rPr>
          <w:rFonts w:cs="Arial"/>
        </w:rPr>
        <w:t>54038 Nancy Cedex</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Téléphone : 03 83 34 25 65</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Télécopie : 03 83 34 22 24</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Mail : </w:t>
      </w:r>
      <w:hyperlink r:id="rId10">
        <w:r>
          <w:rPr>
            <w:rFonts w:eastAsia="Times New Roman" w:cs="Arial"/>
            <w:color w:val="0000FF"/>
            <w:u w:val="single"/>
            <w:lang w:eastAsia="fr-FR"/>
          </w:rPr>
          <w:t>caroline.page@meurthe-et-moselle.gouv.fr</w:t>
        </w:r>
      </w:hyperlink>
    </w:p>
    <w:p w:rsidR="00E81C81" w:rsidRDefault="00E81C81" w:rsidP="00E81C81">
      <w:pPr>
        <w:spacing w:after="0" w:line="240" w:lineRule="auto"/>
        <w:rPr>
          <w:rFonts w:cs="Arial"/>
        </w:rPr>
      </w:pPr>
    </w:p>
    <w:p w:rsidR="00E81C81" w:rsidRDefault="00E81C81" w:rsidP="00E81C81">
      <w:pPr>
        <w:keepNext/>
        <w:keepLines/>
        <w:spacing w:before="40" w:after="0"/>
        <w:ind w:left="708"/>
        <w:outlineLvl w:val="1"/>
        <w:rPr>
          <w:rFonts w:cs="Arial"/>
          <w:b/>
        </w:rPr>
      </w:pPr>
      <w:bookmarkStart w:id="38" w:name="_Toc104291656"/>
      <w:bookmarkStart w:id="39" w:name="_Toc175047820"/>
      <w:bookmarkStart w:id="40" w:name="_Toc177981427"/>
      <w:bookmarkStart w:id="41" w:name="_Toc183531401"/>
      <w:bookmarkStart w:id="42" w:name="_Toc184896412"/>
      <w:r>
        <w:rPr>
          <w:rFonts w:cs="Arial"/>
          <w:b/>
        </w:rPr>
        <w:t>15.2 – Tribunal compétent</w:t>
      </w:r>
      <w:bookmarkEnd w:id="38"/>
      <w:bookmarkEnd w:id="39"/>
      <w:bookmarkEnd w:id="40"/>
      <w:bookmarkEnd w:id="41"/>
      <w:bookmarkEnd w:id="42"/>
      <w:r>
        <w:rPr>
          <w:rFonts w:cs="Arial"/>
          <w:b/>
        </w:rPr>
        <w:t xml:space="preserve"> </w:t>
      </w:r>
    </w:p>
    <w:p w:rsidR="00E81C81" w:rsidRDefault="00E81C81" w:rsidP="00E81C81">
      <w:pPr>
        <w:spacing w:after="0" w:line="240" w:lineRule="auto"/>
        <w:rPr>
          <w:rFonts w:cs="Arial"/>
        </w:rPr>
      </w:pPr>
    </w:p>
    <w:p w:rsidR="00E81C81" w:rsidRDefault="00E81C81" w:rsidP="00E81C81">
      <w:pPr>
        <w:spacing w:after="0" w:line="240" w:lineRule="auto"/>
        <w:rPr>
          <w:rFonts w:cs="Arial"/>
        </w:rPr>
      </w:pPr>
      <w:r>
        <w:rPr>
          <w:rFonts w:cs="Arial"/>
        </w:rPr>
        <w:t>En cas de litiges entre les parties qui ne pourraient être réglés à l’amiable, la loi française est seule applicable. Le différend sera porté devant le Tribunal Administratif de Lille seul compétent.</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Toute procédure de recours pourra être introduite selon les dispositions et délais en vigueur :</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 soit auprès du Tribunal Administratif de Lille</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5 rue Geoffroy Saint-Hilaire</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CS 62039</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59014 LILLE CEDEX</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Téléphone : 03 59 54 23 42</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Télécopie : 03 59 54 24 45</w:t>
      </w:r>
    </w:p>
    <w:p w:rsid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Mail : </w:t>
      </w:r>
      <w:hyperlink r:id="rId11" w:tooltip="mailto:greffe.ta-lille@juradm.fr">
        <w:r>
          <w:rPr>
            <w:rFonts w:eastAsia="Times New Roman" w:cs="Arial"/>
            <w:lang w:eastAsia="fr-FR"/>
          </w:rPr>
          <w:t>greffe.ta-lille@juradm.fr</w:t>
        </w:r>
      </w:hyperlink>
    </w:p>
    <w:p w:rsidR="006D0445" w:rsidRPr="00E81C81" w:rsidRDefault="00E81C81" w:rsidP="00E81C81">
      <w:pPr>
        <w:tabs>
          <w:tab w:val="left" w:pos="0"/>
        </w:tabs>
        <w:spacing w:after="0" w:line="100" w:lineRule="atLeast"/>
        <w:jc w:val="center"/>
        <w:rPr>
          <w:rFonts w:eastAsia="Times New Roman" w:cs="Arial"/>
          <w:lang w:eastAsia="fr-FR"/>
        </w:rPr>
      </w:pPr>
      <w:r>
        <w:rPr>
          <w:rFonts w:eastAsia="Times New Roman" w:cs="Arial"/>
          <w:lang w:eastAsia="fr-FR"/>
        </w:rPr>
        <w:t xml:space="preserve">- soit par utilisation de l’application </w:t>
      </w:r>
      <w:proofErr w:type="spellStart"/>
      <w:r>
        <w:rPr>
          <w:rFonts w:eastAsia="Times New Roman" w:cs="Arial"/>
          <w:lang w:eastAsia="fr-FR"/>
        </w:rPr>
        <w:t>Télérecours</w:t>
      </w:r>
      <w:proofErr w:type="spellEnd"/>
      <w:r>
        <w:rPr>
          <w:rFonts w:eastAsia="Times New Roman" w:cs="Arial"/>
          <w:lang w:eastAsia="fr-FR"/>
        </w:rPr>
        <w:t xml:space="preserve"> accessible à partir du site </w:t>
      </w:r>
      <w:hyperlink r:id="rId12" w:tgtFrame="_blank">
        <w:r>
          <w:rPr>
            <w:rFonts w:eastAsia="Times New Roman" w:cs="Arial"/>
            <w:lang w:eastAsia="fr-FR"/>
          </w:rPr>
          <w:t>www.telerecours.fr</w:t>
        </w:r>
      </w:hyperlink>
      <w:r>
        <w:rPr>
          <w:rFonts w:eastAsia="Times New Roman" w:cs="Arial"/>
          <w:lang w:eastAsia="fr-FR"/>
        </w:rPr>
        <w:t>.</w:t>
      </w:r>
    </w:p>
    <w:p w:rsidR="00EF700E" w:rsidRPr="00EF700E" w:rsidRDefault="00E81C81" w:rsidP="00FB5F08">
      <w:pPr>
        <w:pStyle w:val="Titre1"/>
        <w:rPr>
          <w:rFonts w:eastAsia="Times New Roman"/>
          <w:lang w:eastAsia="fr-FR"/>
        </w:rPr>
      </w:pPr>
      <w:bookmarkStart w:id="43" w:name="_Toc184896413"/>
      <w:r>
        <w:rPr>
          <w:rFonts w:eastAsia="Times New Roman"/>
          <w:lang w:eastAsia="fr-FR"/>
        </w:rPr>
        <w:t>ARTICLE 16</w:t>
      </w:r>
      <w:r w:rsidR="00EF700E" w:rsidRPr="00743B89">
        <w:rPr>
          <w:rFonts w:eastAsia="Times New Roman"/>
          <w:lang w:eastAsia="fr-FR"/>
        </w:rPr>
        <w:t xml:space="preserve"> – DEROGATIONS AU CCAG</w:t>
      </w:r>
      <w:bookmarkEnd w:id="43"/>
      <w:r w:rsidR="00EF700E" w:rsidRPr="00EF700E">
        <w:rPr>
          <w:rFonts w:eastAsia="Times New Roman"/>
          <w:lang w:eastAsia="fr-FR"/>
        </w:rPr>
        <w:t xml:space="preserve"> </w:t>
      </w:r>
    </w:p>
    <w:p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EF700E" w:rsidRPr="00EF700E" w:rsidTr="009B64DB">
        <w:trPr>
          <w:trHeight w:val="721"/>
        </w:trPr>
        <w:tc>
          <w:tcPr>
            <w:tcW w:w="4533" w:type="dxa"/>
            <w:shd w:val="clear" w:color="auto" w:fill="D9D9D9"/>
            <w:vAlign w:val="center"/>
          </w:tcPr>
          <w:p w:rsidR="00EF700E" w:rsidRPr="00EF700E" w:rsidRDefault="00EF700E" w:rsidP="00EF700E">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Articles du présent CCAP</w:t>
            </w:r>
          </w:p>
        </w:tc>
        <w:tc>
          <w:tcPr>
            <w:tcW w:w="4529" w:type="dxa"/>
            <w:shd w:val="clear" w:color="auto" w:fill="D9D9D9"/>
            <w:vAlign w:val="center"/>
          </w:tcPr>
          <w:p w:rsidR="00EF700E" w:rsidRPr="00EF700E" w:rsidRDefault="00EF700E" w:rsidP="00DB018D">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 xml:space="preserve">Articles du CCAG </w:t>
            </w:r>
            <w:r w:rsidR="00DB018D">
              <w:rPr>
                <w:rFonts w:eastAsia="SimSun" w:cs="Arial"/>
                <w:b/>
                <w:bCs/>
                <w:kern w:val="1"/>
                <w:lang w:eastAsia="zh-CN" w:bidi="hi-IN"/>
              </w:rPr>
              <w:t>FCS</w:t>
            </w:r>
            <w:r w:rsidRPr="00EF700E">
              <w:rPr>
                <w:rFonts w:eastAsia="SimSun" w:cs="Arial"/>
                <w:b/>
                <w:bCs/>
                <w:kern w:val="1"/>
                <w:lang w:eastAsia="zh-CN" w:bidi="hi-IN"/>
              </w:rPr>
              <w:t xml:space="preserve"> auxquels il est dérogé</w:t>
            </w:r>
          </w:p>
        </w:tc>
      </w:tr>
      <w:tr w:rsidR="009B64DB" w:rsidRPr="00EF700E" w:rsidTr="00C35E45">
        <w:trPr>
          <w:trHeight w:val="343"/>
        </w:trPr>
        <w:tc>
          <w:tcPr>
            <w:tcW w:w="4533" w:type="dxa"/>
            <w:shd w:val="clear" w:color="auto" w:fill="auto"/>
          </w:tcPr>
          <w:p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2</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Pièces constitutives du marché</w:t>
            </w:r>
          </w:p>
        </w:tc>
        <w:tc>
          <w:tcPr>
            <w:tcW w:w="4529" w:type="dxa"/>
            <w:shd w:val="clear" w:color="auto" w:fill="auto"/>
          </w:tcPr>
          <w:p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4.1 : Ordre de priorité</w:t>
            </w:r>
          </w:p>
        </w:tc>
      </w:tr>
      <w:tr w:rsidR="009B64DB" w:rsidRPr="00EF700E" w:rsidTr="00C35E45">
        <w:trPr>
          <w:trHeight w:val="343"/>
        </w:trPr>
        <w:tc>
          <w:tcPr>
            <w:tcW w:w="4533" w:type="dxa"/>
            <w:shd w:val="clear" w:color="auto" w:fill="auto"/>
          </w:tcPr>
          <w:p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5</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Forme de la notification</w:t>
            </w:r>
          </w:p>
        </w:tc>
        <w:tc>
          <w:tcPr>
            <w:tcW w:w="4529" w:type="dxa"/>
            <w:shd w:val="clear" w:color="auto" w:fill="auto"/>
          </w:tcPr>
          <w:p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4.2 : Pièces à remettre au titulaire</w:t>
            </w:r>
          </w:p>
        </w:tc>
      </w:tr>
      <w:tr w:rsidR="009B64DB" w:rsidRPr="00EF700E" w:rsidTr="00C35E45">
        <w:trPr>
          <w:trHeight w:val="343"/>
        </w:trPr>
        <w:tc>
          <w:tcPr>
            <w:tcW w:w="4533" w:type="dxa"/>
            <w:shd w:val="clear" w:color="auto" w:fill="FFFFFF" w:themeFill="background1"/>
          </w:tcPr>
          <w:p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11 : Pénalités</w:t>
            </w:r>
          </w:p>
        </w:tc>
        <w:tc>
          <w:tcPr>
            <w:tcW w:w="4529" w:type="dxa"/>
            <w:shd w:val="clear" w:color="auto" w:fill="FFFFFF" w:themeFill="background1"/>
          </w:tcPr>
          <w:p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14.1 : Pénalités</w:t>
            </w:r>
          </w:p>
        </w:tc>
      </w:tr>
    </w:tbl>
    <w:p w:rsidR="00EF700E" w:rsidRDefault="00EF700E" w:rsidP="00EF700E"/>
    <w:p w:rsidR="00DC5172" w:rsidRPr="00A81D7B" w:rsidRDefault="00E81C81" w:rsidP="00FB5F08">
      <w:pPr>
        <w:pStyle w:val="Titre1"/>
        <w:rPr>
          <w:rFonts w:eastAsia="Times New Roman" w:cs="Arial"/>
          <w:szCs w:val="24"/>
          <w:lang w:eastAsia="ar-SA"/>
        </w:rPr>
      </w:pPr>
      <w:bookmarkStart w:id="44" w:name="_Toc184896414"/>
      <w:r>
        <w:rPr>
          <w:rFonts w:eastAsia="Times New Roman" w:cs="Arial"/>
          <w:caps/>
          <w:szCs w:val="24"/>
          <w:lang w:eastAsia="ar-SA"/>
        </w:rPr>
        <w:t>Article 17</w:t>
      </w:r>
      <w:r w:rsidR="00DC5172" w:rsidRPr="00A81D7B">
        <w:rPr>
          <w:rFonts w:eastAsia="Times New Roman" w:cs="Arial"/>
          <w:caps/>
          <w:szCs w:val="24"/>
          <w:lang w:eastAsia="ar-SA"/>
        </w:rPr>
        <w:t xml:space="preserve"> : </w:t>
      </w:r>
      <w:r w:rsidR="00FB5F08" w:rsidRPr="00A81D7B">
        <w:rPr>
          <w:rFonts w:eastAsia="Times New Roman" w:cs="Arial"/>
          <w:caps/>
          <w:szCs w:val="24"/>
          <w:lang w:eastAsia="ar-SA"/>
        </w:rPr>
        <w:t>signature du marché</w:t>
      </w:r>
      <w:bookmarkEnd w:id="44"/>
    </w:p>
    <w:p w:rsidR="00DC5172" w:rsidRPr="00DC5172" w:rsidRDefault="00DC5172" w:rsidP="00DC5172">
      <w:pPr>
        <w:tabs>
          <w:tab w:val="left" w:pos="720"/>
          <w:tab w:val="left" w:pos="1080"/>
        </w:tabs>
        <w:suppressAutoHyphens/>
        <w:autoSpaceDE w:val="0"/>
        <w:spacing w:after="0" w:line="240" w:lineRule="auto"/>
        <w:jc w:val="left"/>
        <w:rPr>
          <w:rFonts w:eastAsia="Times New Roman" w:cs="Arial"/>
          <w:sz w:val="24"/>
          <w:szCs w:val="24"/>
          <w:lang w:eastAsia="ar-SA"/>
        </w:rPr>
      </w:pPr>
    </w:p>
    <w:p w:rsidR="00DC5172" w:rsidRPr="00DC5172" w:rsidRDefault="00E81C81" w:rsidP="00FB5F08">
      <w:pPr>
        <w:pStyle w:val="Titre2"/>
        <w:rPr>
          <w:rFonts w:eastAsia="Times New Roman"/>
          <w:lang w:eastAsia="ar-SA"/>
        </w:rPr>
      </w:pPr>
      <w:bookmarkStart w:id="45" w:name="_Toc184896415"/>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45"/>
      <w:r w:rsidR="00DC5172">
        <w:rPr>
          <w:rFonts w:eastAsia="Times New Roman"/>
          <w:lang w:eastAsia="ar-SA"/>
        </w:rPr>
        <w:t xml:space="preserve"> </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rsidTr="00DC5172">
        <w:tc>
          <w:tcPr>
            <w:tcW w:w="4406" w:type="dxa"/>
            <w:tcBorders>
              <w:top w:val="single" w:sz="4" w:space="0" w:color="000000"/>
              <w:left w:val="single" w:sz="4" w:space="0" w:color="000000"/>
              <w:bottom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rsidTr="00DC5172">
        <w:trPr>
          <w:trHeight w:val="1021"/>
        </w:trPr>
        <w:tc>
          <w:tcPr>
            <w:tcW w:w="4406" w:type="dxa"/>
            <w:tcBorders>
              <w:top w:val="single" w:sz="4" w:space="0" w:color="000000"/>
              <w:left w:val="single" w:sz="4" w:space="0" w:color="000000"/>
              <w:bottom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r>
    </w:tbl>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E81C81" w:rsidP="00FB5F08">
      <w:pPr>
        <w:pStyle w:val="Titre2"/>
        <w:rPr>
          <w:rFonts w:eastAsia="Times New Roman"/>
          <w:lang w:eastAsia="ar-SA"/>
        </w:rPr>
      </w:pPr>
      <w:bookmarkStart w:id="46" w:name="_Toc184896416"/>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46"/>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8E10C2">
        <w:rPr>
          <w:rFonts w:ascii="Univers" w:eastAsia="Times New Roman" w:hAnsi="Univers" w:cs="Univers"/>
          <w:lang w:eastAsia="ar-SA"/>
        </w:rPr>
      </w:r>
      <w:r w:rsidR="008E10C2">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8E10C2">
        <w:rPr>
          <w:rFonts w:ascii="Univers" w:eastAsia="Times New Roman" w:hAnsi="Univers" w:cs="Univers"/>
          <w:lang w:eastAsia="ar-SA"/>
        </w:rPr>
      </w:r>
      <w:r w:rsidR="008E10C2">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8E10C2">
        <w:rPr>
          <w:rFonts w:ascii="Univers" w:eastAsia="Times New Roman" w:hAnsi="Univers" w:cs="Univers"/>
          <w:lang w:eastAsia="ar-SA"/>
        </w:rPr>
      </w:r>
      <w:r w:rsidR="008E10C2">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rsidR="00DC5172" w:rsidRPr="00DC5172" w:rsidRDefault="00DC5172" w:rsidP="00DC5172">
      <w:pPr>
        <w:tabs>
          <w:tab w:val="left" w:pos="426"/>
          <w:tab w:val="left" w:pos="851"/>
        </w:tabs>
        <w:suppressAutoHyphens/>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rsidR="00DC5172" w:rsidRPr="00DC5172" w:rsidRDefault="00DC5172" w:rsidP="00DC5172">
      <w:pPr>
        <w:tabs>
          <w:tab w:val="left" w:pos="851"/>
        </w:tabs>
        <w:suppressAutoHyphens/>
        <w:spacing w:after="0" w:line="240" w:lineRule="auto"/>
        <w:rPr>
          <w:rFonts w:eastAsia="Times New Roman" w:cs="Arial"/>
          <w:sz w:val="24"/>
          <w:szCs w:val="24"/>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rsidR="00DC5172" w:rsidRPr="00DC5172" w:rsidRDefault="00DC5172" w:rsidP="00DC5172">
      <w:pPr>
        <w:tabs>
          <w:tab w:val="left" w:pos="851"/>
        </w:tabs>
        <w:suppressAutoHyphens/>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rsidR="00DC5172" w:rsidRPr="00DC5172" w:rsidRDefault="00DC5172" w:rsidP="00DC5172">
      <w:pPr>
        <w:tabs>
          <w:tab w:val="left" w:pos="851"/>
        </w:tabs>
        <w:suppressAutoHyphens/>
        <w:spacing w:after="0" w:line="240" w:lineRule="auto"/>
        <w:jc w:val="left"/>
        <w:rPr>
          <w:rFonts w:eastAsia="Times New Roman" w:cs="Arial"/>
          <w:iCs/>
          <w:lang w:eastAsia="ar-SA"/>
        </w:rPr>
      </w:pPr>
    </w:p>
    <w:p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8E10C2">
        <w:rPr>
          <w:rFonts w:eastAsia="Times New Roman" w:cs="Arial"/>
          <w:lang w:eastAsia="ar-SA"/>
        </w:rPr>
      </w:r>
      <w:r w:rsidR="008E10C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rsid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F507A7">
        <w:rPr>
          <w:rFonts w:eastAsia="Times New Roman" w:cs="Arial"/>
          <w:sz w:val="24"/>
          <w:szCs w:val="24"/>
          <w:lang w:eastAsia="ar-SA"/>
        </w:rPr>
        <w:t>…………………………………………………………………………...</w:t>
      </w:r>
    </w:p>
    <w:p w:rsidR="009C5BFE" w:rsidRDefault="009C5BFE" w:rsidP="00DC5172">
      <w:pPr>
        <w:tabs>
          <w:tab w:val="left" w:pos="851"/>
        </w:tabs>
        <w:suppressAutoHyphens/>
        <w:spacing w:after="0" w:line="240" w:lineRule="auto"/>
        <w:jc w:val="left"/>
        <w:rPr>
          <w:rFonts w:eastAsia="Times New Roman" w:cs="Arial"/>
          <w:sz w:val="24"/>
          <w:szCs w:val="24"/>
          <w:lang w:eastAsia="ar-SA"/>
        </w:rPr>
      </w:pPr>
    </w:p>
    <w:p w:rsidR="009C5BFE" w:rsidRPr="00DC5172" w:rsidRDefault="009C5BFE" w:rsidP="00DC5172">
      <w:pPr>
        <w:tabs>
          <w:tab w:val="left" w:pos="851"/>
        </w:tabs>
        <w:suppressAutoHyphens/>
        <w:spacing w:after="0" w:line="240" w:lineRule="auto"/>
        <w:jc w:val="left"/>
        <w:rPr>
          <w:rFonts w:eastAsia="Times New Roman" w:cs="Arial"/>
          <w:sz w:val="24"/>
          <w:szCs w:val="24"/>
          <w:lang w:eastAsia="ar-SA"/>
        </w:rPr>
      </w:pP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rsidTr="00DC5172">
        <w:tc>
          <w:tcPr>
            <w:tcW w:w="4468"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rsidTr="00DC5172">
        <w:trPr>
          <w:trHeight w:val="1021"/>
        </w:trPr>
        <w:tc>
          <w:tcPr>
            <w:tcW w:w="4468"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rsidTr="00DC5172">
        <w:trPr>
          <w:trHeight w:val="1021"/>
        </w:trPr>
        <w:tc>
          <w:tcPr>
            <w:tcW w:w="4468"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815D51" w:rsidRDefault="00815D51" w:rsidP="00DC5172">
      <w:pPr>
        <w:tabs>
          <w:tab w:val="left" w:pos="851"/>
        </w:tabs>
        <w:suppressAutoHyphens/>
        <w:spacing w:after="0" w:line="240" w:lineRule="auto"/>
        <w:jc w:val="left"/>
        <w:rPr>
          <w:rFonts w:eastAsia="Times New Roman" w:cs="Arial"/>
          <w:sz w:val="18"/>
          <w:szCs w:val="18"/>
          <w:lang w:eastAsia="ar-SA"/>
        </w:rPr>
      </w:pPr>
    </w:p>
    <w:p w:rsidR="00815D51" w:rsidRDefault="00815D51" w:rsidP="00DC5172">
      <w:pPr>
        <w:tabs>
          <w:tab w:val="left" w:pos="851"/>
        </w:tabs>
        <w:suppressAutoHyphens/>
        <w:spacing w:after="0" w:line="240" w:lineRule="auto"/>
        <w:jc w:val="left"/>
        <w:rPr>
          <w:rFonts w:eastAsia="Times New Roman" w:cs="Arial"/>
          <w:sz w:val="18"/>
          <w:szCs w:val="18"/>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rsidR="00DC5172" w:rsidRPr="00CB2600" w:rsidRDefault="00FB5F08" w:rsidP="00CB2600">
      <w:pPr>
        <w:pStyle w:val="Titre1"/>
        <w:rPr>
          <w:rFonts w:eastAsia="Times New Roman"/>
          <w:lang w:eastAsia="ar-SA"/>
        </w:rPr>
      </w:pPr>
      <w:bookmarkStart w:id="47" w:name="_Toc184896417"/>
      <w:r>
        <w:rPr>
          <w:rFonts w:eastAsia="Times New Roman"/>
          <w:lang w:eastAsia="ar-SA"/>
        </w:rPr>
        <w:t>ARTICLE</w:t>
      </w:r>
      <w:r w:rsidR="00E81C81">
        <w:rPr>
          <w:rFonts w:eastAsia="Times New Roman"/>
          <w:lang w:eastAsia="ar-SA"/>
        </w:rPr>
        <w:t xml:space="preserve"> 18</w:t>
      </w:r>
      <w:r w:rsidR="00DC5172" w:rsidRPr="00DC5172">
        <w:rPr>
          <w:rFonts w:eastAsia="Times New Roman"/>
          <w:lang w:eastAsia="ar-SA"/>
        </w:rPr>
        <w:t> : DECISION DU POUVOIR ADJUDICATEUR</w:t>
      </w:r>
      <w:bookmarkEnd w:id="47"/>
    </w:p>
    <w:p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p>
    <w:p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rsidR="00EA67B1" w:rsidRPr="00436AF5" w:rsidRDefault="00DC5172" w:rsidP="00436AF5">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sectPr w:rsidR="00EA67B1" w:rsidRPr="00436AF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DCA" w:rsidRDefault="00600DCA" w:rsidP="005C1E92">
      <w:pPr>
        <w:spacing w:after="0" w:line="240" w:lineRule="auto"/>
      </w:pPr>
      <w:r>
        <w:separator/>
      </w:r>
    </w:p>
  </w:endnote>
  <w:endnote w:type="continuationSeparator" w:id="0">
    <w:p w:rsidR="00600DCA" w:rsidRDefault="00600DCA"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rsidR="00600DCA" w:rsidRDefault="00600DCA">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8E10C2">
              <w:rPr>
                <w:b/>
                <w:bCs/>
                <w:noProof/>
                <w:sz w:val="16"/>
                <w:szCs w:val="16"/>
              </w:rPr>
              <w:t>2</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8E10C2">
              <w:rPr>
                <w:b/>
                <w:bCs/>
                <w:noProof/>
                <w:sz w:val="16"/>
                <w:szCs w:val="16"/>
              </w:rPr>
              <w:t>14</w:t>
            </w:r>
            <w:r w:rsidRPr="00815D51">
              <w:rPr>
                <w:b/>
                <w:bCs/>
                <w:sz w:val="16"/>
                <w:szCs w:val="16"/>
              </w:rPr>
              <w:fldChar w:fldCharType="end"/>
            </w:r>
          </w:p>
        </w:sdtContent>
      </w:sdt>
    </w:sdtContent>
  </w:sdt>
  <w:p w:rsidR="00600DCA" w:rsidRPr="00815D51" w:rsidRDefault="00600DCA">
    <w:pPr>
      <w:pStyle w:val="Pieddepage"/>
      <w:rPr>
        <w:sz w:val="16"/>
        <w:szCs w:val="16"/>
      </w:rPr>
    </w:pPr>
    <w:r w:rsidRPr="00815D51">
      <w:rPr>
        <w:sz w:val="16"/>
        <w:szCs w:val="16"/>
      </w:rPr>
      <w:t>Ville de Loos – Consultation n°</w:t>
    </w:r>
    <w:r w:rsidR="008E3932">
      <w:rPr>
        <w:sz w:val="16"/>
        <w:szCs w:val="16"/>
      </w:rPr>
      <w:t>25-26</w:t>
    </w:r>
    <w:r>
      <w:rPr>
        <w:sz w:val="16"/>
        <w:szCs w:val="16"/>
      </w:rPr>
      <w:t>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DCA" w:rsidRDefault="00600DCA" w:rsidP="005C1E92">
      <w:pPr>
        <w:spacing w:after="0" w:line="240" w:lineRule="auto"/>
      </w:pPr>
      <w:r>
        <w:separator/>
      </w:r>
    </w:p>
  </w:footnote>
  <w:footnote w:type="continuationSeparator" w:id="0">
    <w:p w:rsidR="00600DCA" w:rsidRDefault="00600DCA" w:rsidP="005C1E92">
      <w:pPr>
        <w:spacing w:after="0" w:line="240" w:lineRule="auto"/>
      </w:pPr>
      <w:r>
        <w:continuationSeparator/>
      </w:r>
    </w:p>
  </w:footnote>
  <w:footnote w:id="1">
    <w:p w:rsidR="00600DCA" w:rsidRDefault="00600DCA" w:rsidP="00530E4D">
      <w:pPr>
        <w:pStyle w:val="Notedebasdepage"/>
        <w:rPr>
          <w:sz w:val="16"/>
        </w:rPr>
      </w:pPr>
      <w:r>
        <w:rPr>
          <w:rStyle w:val="Appelnotedebasdep"/>
        </w:rPr>
        <w:footnoteRef/>
      </w:r>
      <w:r>
        <w:t xml:space="preserve"> </w:t>
      </w:r>
      <w:r w:rsidRPr="00530E4D">
        <w:rPr>
          <w:sz w:val="16"/>
        </w:rPr>
        <w:t xml:space="preserve">Obligatoire pour : les Grandes Entreprises depuis le 01/01/2017, les Entreprises de tailles intermédiaires depuis le 01/01/2018, les Petites et Moyennes entreprises depuis le 1/01/2019 </w:t>
      </w:r>
      <w:r>
        <w:rPr>
          <w:sz w:val="16"/>
        </w:rPr>
        <w:t>et les microentreprises depuis le 01/01/2020</w:t>
      </w:r>
      <w:r w:rsidRPr="00530E4D">
        <w:rPr>
          <w:sz w:val="16"/>
        </w:rPr>
        <w:t>(les catégories d’entreprises sont celles définies par le Décret n° 2008-1354 du 18 décembre 2008).</w:t>
      </w:r>
    </w:p>
    <w:p w:rsidR="00600DCA" w:rsidRPr="00530E4D" w:rsidRDefault="00600DCA" w:rsidP="00530E4D">
      <w:pPr>
        <w:pStyle w:val="Notedebasdepage"/>
        <w:rPr>
          <w:sz w:val="16"/>
        </w:rPr>
      </w:pPr>
    </w:p>
  </w:footnote>
  <w:footnote w:id="2">
    <w:p w:rsidR="00600DCA" w:rsidRDefault="00600DCA">
      <w:pPr>
        <w:pStyle w:val="Notedebasdepage"/>
      </w:pPr>
      <w:r>
        <w:rPr>
          <w:rStyle w:val="Appelnotedebasdep"/>
        </w:rPr>
        <w:footnoteRef/>
      </w:r>
      <w:r>
        <w:t xml:space="preserve"> </w:t>
      </w:r>
      <w:r w:rsidRPr="00530E4D">
        <w:rPr>
          <w:sz w:val="16"/>
        </w:rPr>
        <w:t>Hotline de Chorus au n° 04.77.78.39.57 ouverte du lundi au vendredi de 9h à 19h (hors jours fériés) ou sur le site de chorus pro.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932" w:rsidRDefault="008E3932" w:rsidP="008E3932">
    <w:pPr>
      <w:spacing w:after="0" w:line="240" w:lineRule="auto"/>
      <w:jc w:val="center"/>
      <w:rPr>
        <w:rFonts w:eastAsia="Times New Roman" w:cs="Arial"/>
        <w:color w:val="999999"/>
        <w:sz w:val="20"/>
        <w:szCs w:val="24"/>
        <w:lang w:eastAsia="fr-FR"/>
      </w:rPr>
    </w:pPr>
    <w:r>
      <w:rPr>
        <w:rFonts w:eastAsia="Times New Roman" w:cs="Arial"/>
        <w:color w:val="999999"/>
        <w:sz w:val="20"/>
        <w:szCs w:val="24"/>
        <w:lang w:eastAsia="fr-FR"/>
      </w:rPr>
      <w:t>Vérification, entretien, fourniture et pose de défibrillateurs (comprenant un volet formation) pour</w:t>
    </w:r>
    <w:r w:rsidRPr="00ED5FED">
      <w:rPr>
        <w:rFonts w:eastAsia="Times New Roman" w:cs="Arial"/>
        <w:color w:val="999999"/>
        <w:sz w:val="20"/>
        <w:szCs w:val="24"/>
        <w:lang w:eastAsia="fr-FR"/>
      </w:rPr>
      <w:t xml:space="preserve"> la Ville de Loos (59120) </w:t>
    </w:r>
  </w:p>
  <w:p w:rsidR="00600DCA" w:rsidRPr="005C1E92" w:rsidRDefault="00600DCA" w:rsidP="00EE13F5">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2"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003504"/>
    <w:multiLevelType w:val="hybridMultilevel"/>
    <w:tmpl w:val="94D070D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11"/>
  </w:num>
  <w:num w:numId="5">
    <w:abstractNumId w:val="1"/>
  </w:num>
  <w:num w:numId="6">
    <w:abstractNumId w:val="9"/>
  </w:num>
  <w:num w:numId="7">
    <w:abstractNumId w:val="12"/>
  </w:num>
  <w:num w:numId="8">
    <w:abstractNumId w:val="0"/>
  </w:num>
  <w:num w:numId="9">
    <w:abstractNumId w:val="8"/>
  </w:num>
  <w:num w:numId="10">
    <w:abstractNumId w:val="5"/>
  </w:num>
  <w:num w:numId="11">
    <w:abstractNumId w:val="4"/>
  </w:num>
  <w:num w:numId="12">
    <w:abstractNumId w:val="10"/>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00C31"/>
    <w:rsid w:val="00005B28"/>
    <w:rsid w:val="00016FD2"/>
    <w:rsid w:val="00022FD6"/>
    <w:rsid w:val="0004181C"/>
    <w:rsid w:val="00042E12"/>
    <w:rsid w:val="0006087F"/>
    <w:rsid w:val="0008410E"/>
    <w:rsid w:val="000B198B"/>
    <w:rsid w:val="000D60EF"/>
    <w:rsid w:val="000F4C10"/>
    <w:rsid w:val="00105D70"/>
    <w:rsid w:val="00111ED3"/>
    <w:rsid w:val="00126C0E"/>
    <w:rsid w:val="00130487"/>
    <w:rsid w:val="0013528C"/>
    <w:rsid w:val="001401FF"/>
    <w:rsid w:val="001446D2"/>
    <w:rsid w:val="0015085D"/>
    <w:rsid w:val="001509FF"/>
    <w:rsid w:val="0017617E"/>
    <w:rsid w:val="00187B71"/>
    <w:rsid w:val="001902CF"/>
    <w:rsid w:val="001A1D91"/>
    <w:rsid w:val="001A1E11"/>
    <w:rsid w:val="001A7589"/>
    <w:rsid w:val="001D5D1B"/>
    <w:rsid w:val="0023680B"/>
    <w:rsid w:val="00245DDF"/>
    <w:rsid w:val="00262263"/>
    <w:rsid w:val="00273108"/>
    <w:rsid w:val="00275BDC"/>
    <w:rsid w:val="002819A5"/>
    <w:rsid w:val="002916EE"/>
    <w:rsid w:val="002B14B1"/>
    <w:rsid w:val="002D37E2"/>
    <w:rsid w:val="002F56B1"/>
    <w:rsid w:val="003044B7"/>
    <w:rsid w:val="003722C2"/>
    <w:rsid w:val="00380C5E"/>
    <w:rsid w:val="00386405"/>
    <w:rsid w:val="003A62D6"/>
    <w:rsid w:val="003C4D58"/>
    <w:rsid w:val="003C6499"/>
    <w:rsid w:val="003D08A8"/>
    <w:rsid w:val="00421A64"/>
    <w:rsid w:val="00421DE1"/>
    <w:rsid w:val="00436AF5"/>
    <w:rsid w:val="00437113"/>
    <w:rsid w:val="00437642"/>
    <w:rsid w:val="00466D7B"/>
    <w:rsid w:val="00486671"/>
    <w:rsid w:val="004A46B4"/>
    <w:rsid w:val="004A6175"/>
    <w:rsid w:val="004B1C9F"/>
    <w:rsid w:val="004B213F"/>
    <w:rsid w:val="00501F67"/>
    <w:rsid w:val="00530E4D"/>
    <w:rsid w:val="00531696"/>
    <w:rsid w:val="00535B1D"/>
    <w:rsid w:val="00535F01"/>
    <w:rsid w:val="00545029"/>
    <w:rsid w:val="00560985"/>
    <w:rsid w:val="00584413"/>
    <w:rsid w:val="0058522B"/>
    <w:rsid w:val="005C1E92"/>
    <w:rsid w:val="005C5BA3"/>
    <w:rsid w:val="005F0CF3"/>
    <w:rsid w:val="005F5BDB"/>
    <w:rsid w:val="00600DCA"/>
    <w:rsid w:val="00614EAB"/>
    <w:rsid w:val="00621D87"/>
    <w:rsid w:val="006274DB"/>
    <w:rsid w:val="006321EB"/>
    <w:rsid w:val="006706DA"/>
    <w:rsid w:val="00677B56"/>
    <w:rsid w:val="00681EA1"/>
    <w:rsid w:val="006B633B"/>
    <w:rsid w:val="006B7A0B"/>
    <w:rsid w:val="006C2A2C"/>
    <w:rsid w:val="006D0445"/>
    <w:rsid w:val="006D2867"/>
    <w:rsid w:val="006D43C1"/>
    <w:rsid w:val="006F25F6"/>
    <w:rsid w:val="00703449"/>
    <w:rsid w:val="007060F0"/>
    <w:rsid w:val="00710FE9"/>
    <w:rsid w:val="007112FE"/>
    <w:rsid w:val="00725AB6"/>
    <w:rsid w:val="0074395B"/>
    <w:rsid w:val="00743B89"/>
    <w:rsid w:val="00772ED8"/>
    <w:rsid w:val="0077734B"/>
    <w:rsid w:val="00815D51"/>
    <w:rsid w:val="0082242E"/>
    <w:rsid w:val="00850671"/>
    <w:rsid w:val="0085283E"/>
    <w:rsid w:val="00873E7D"/>
    <w:rsid w:val="0088227F"/>
    <w:rsid w:val="00893ADB"/>
    <w:rsid w:val="008D6F35"/>
    <w:rsid w:val="008E10C2"/>
    <w:rsid w:val="008E309F"/>
    <w:rsid w:val="008E3932"/>
    <w:rsid w:val="008F669B"/>
    <w:rsid w:val="009341A9"/>
    <w:rsid w:val="00970DD9"/>
    <w:rsid w:val="0097674A"/>
    <w:rsid w:val="009B64DB"/>
    <w:rsid w:val="009C102D"/>
    <w:rsid w:val="009C2808"/>
    <w:rsid w:val="009C5BFE"/>
    <w:rsid w:val="009C60CD"/>
    <w:rsid w:val="009D5807"/>
    <w:rsid w:val="009F28D5"/>
    <w:rsid w:val="00A20494"/>
    <w:rsid w:val="00A33B5B"/>
    <w:rsid w:val="00A3709E"/>
    <w:rsid w:val="00A4724B"/>
    <w:rsid w:val="00A53F9B"/>
    <w:rsid w:val="00A81D7B"/>
    <w:rsid w:val="00AB362F"/>
    <w:rsid w:val="00AC7126"/>
    <w:rsid w:val="00AD3884"/>
    <w:rsid w:val="00AF0258"/>
    <w:rsid w:val="00B03397"/>
    <w:rsid w:val="00B05C75"/>
    <w:rsid w:val="00B433AD"/>
    <w:rsid w:val="00B66AAB"/>
    <w:rsid w:val="00B97C41"/>
    <w:rsid w:val="00BA2529"/>
    <w:rsid w:val="00BA41A4"/>
    <w:rsid w:val="00BB4659"/>
    <w:rsid w:val="00BD4757"/>
    <w:rsid w:val="00BF4200"/>
    <w:rsid w:val="00C07EB9"/>
    <w:rsid w:val="00C20AA2"/>
    <w:rsid w:val="00C305B8"/>
    <w:rsid w:val="00C311DD"/>
    <w:rsid w:val="00C31A09"/>
    <w:rsid w:val="00C35E45"/>
    <w:rsid w:val="00C43DE3"/>
    <w:rsid w:val="00C512EF"/>
    <w:rsid w:val="00C576AD"/>
    <w:rsid w:val="00C72C12"/>
    <w:rsid w:val="00C7785B"/>
    <w:rsid w:val="00C86345"/>
    <w:rsid w:val="00CB0BE1"/>
    <w:rsid w:val="00CB180F"/>
    <w:rsid w:val="00CB2600"/>
    <w:rsid w:val="00CD2571"/>
    <w:rsid w:val="00D04D59"/>
    <w:rsid w:val="00D24B47"/>
    <w:rsid w:val="00D323EF"/>
    <w:rsid w:val="00D702DF"/>
    <w:rsid w:val="00D74410"/>
    <w:rsid w:val="00D80841"/>
    <w:rsid w:val="00D91A8A"/>
    <w:rsid w:val="00D937C2"/>
    <w:rsid w:val="00DB018D"/>
    <w:rsid w:val="00DC258D"/>
    <w:rsid w:val="00DC5172"/>
    <w:rsid w:val="00DE34EB"/>
    <w:rsid w:val="00DE4C41"/>
    <w:rsid w:val="00DF1E6B"/>
    <w:rsid w:val="00E0030F"/>
    <w:rsid w:val="00E0515D"/>
    <w:rsid w:val="00E06364"/>
    <w:rsid w:val="00E318D3"/>
    <w:rsid w:val="00E33CDF"/>
    <w:rsid w:val="00E46DA2"/>
    <w:rsid w:val="00E81C81"/>
    <w:rsid w:val="00E84D65"/>
    <w:rsid w:val="00EA67B1"/>
    <w:rsid w:val="00EE13F5"/>
    <w:rsid w:val="00EF0E32"/>
    <w:rsid w:val="00EF700E"/>
    <w:rsid w:val="00F079C5"/>
    <w:rsid w:val="00F1020E"/>
    <w:rsid w:val="00F3285F"/>
    <w:rsid w:val="00F44AC2"/>
    <w:rsid w:val="00F507A7"/>
    <w:rsid w:val="00F93E85"/>
    <w:rsid w:val="00FB5F08"/>
    <w:rsid w:val="00FC4339"/>
    <w:rsid w:val="00FD1318"/>
    <w:rsid w:val="00FD22E6"/>
    <w:rsid w:val="00FD6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E92"/>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paragraph" w:styleId="Rvision">
    <w:name w:val="Revision"/>
    <w:hidden/>
    <w:uiPriority w:val="99"/>
    <w:semiHidden/>
    <w:rsid w:val="00D702DF"/>
    <w:pPr>
      <w:spacing w:after="0" w:line="240" w:lineRule="auto"/>
    </w:pPr>
    <w:rPr>
      <w:rFonts w:ascii="Arial" w:hAnsi="Arial"/>
    </w:rPr>
  </w:style>
  <w:style w:type="paragraph" w:customStyle="1" w:styleId="Default">
    <w:name w:val="Default"/>
    <w:rsid w:val="006C2A2C"/>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lerecour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lille@juradm.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roline.page@meurthe-et-moselle.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DBD12-6240-4028-960B-3C253D6E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14</Pages>
  <Words>5006</Words>
  <Characters>27538</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32480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53</cp:revision>
  <cp:lastPrinted>2020-01-10T10:37:00Z</cp:lastPrinted>
  <dcterms:created xsi:type="dcterms:W3CDTF">2020-08-06T14:03:00Z</dcterms:created>
  <dcterms:modified xsi:type="dcterms:W3CDTF">2025-09-03T09:25:00Z</dcterms:modified>
</cp:coreProperties>
</file>